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A7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default" w:ascii="Times New Roman" w:hAnsi="Times New Roman" w:cs="Times New Roman"/>
          <w:i w:val="0"/>
          <w:iCs w:val="0"/>
          <w:caps w:val="0"/>
          <w:color w:val="FFFFFF"/>
          <w:spacing w:val="0"/>
          <w:sz w:val="38"/>
          <w:szCs w:val="38"/>
        </w:rPr>
      </w:pPr>
      <w:r>
        <w:rPr>
          <w:rFonts w:hint="default" w:ascii="Times New Roman" w:hAnsi="Times New Roman" w:cs="Times New Roman"/>
          <w:i w:val="0"/>
          <w:iCs w:val="0"/>
          <w:caps w:val="0"/>
          <w:color w:val="FFFFFF"/>
          <w:spacing w:val="0"/>
          <w:sz w:val="38"/>
          <w:szCs w:val="38"/>
          <w:bdr w:val="none" w:color="auto" w:sz="0" w:space="0"/>
          <w:shd w:val="clear" w:fill="FFFFFF"/>
        </w:rPr>
        <w:t>2026年全国教育科学规划年度项目申报公告</w:t>
      </w:r>
    </w:p>
    <w:p w14:paraId="192CD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仿宋_GB2312" w:hAnsi="Times New Roman" w:eastAsia="仿宋_GB2312" w:cs="仿宋_GB2312"/>
          <w:i w:val="0"/>
          <w:iCs w:val="0"/>
          <w:caps w:val="0"/>
          <w:color w:val="000000"/>
          <w:spacing w:val="0"/>
          <w:sz w:val="32"/>
          <w:szCs w:val="32"/>
          <w:bdr w:val="none" w:color="auto" w:sz="0" w:space="0"/>
          <w:shd w:val="clear" w:fill="FFFFFF"/>
        </w:rPr>
      </w:pPr>
      <w:r>
        <w:rPr>
          <w:rFonts w:hint="eastAsia" w:ascii="方正小标宋_GBK" w:hAnsi="方正小标宋_GBK" w:eastAsia="方正小标宋_GBK" w:cs="方正小标宋_GBK"/>
          <w:b w:val="0"/>
          <w:bCs w:val="0"/>
          <w:i w:val="0"/>
          <w:iCs w:val="0"/>
          <w:caps w:val="0"/>
          <w:color w:val="000000"/>
          <w:spacing w:val="0"/>
          <w:sz w:val="36"/>
          <w:szCs w:val="36"/>
          <w:shd w:val="clear" w:fill="FFFFFF"/>
          <w:lang w:val="en-US" w:eastAsia="zh-CN"/>
        </w:rPr>
        <w:t xml:space="preserve">    </w:t>
      </w:r>
      <w:bookmarkStart w:id="0" w:name="_GoBack"/>
      <w:r>
        <w:rPr>
          <w:rFonts w:hint="eastAsia" w:ascii="方正小标宋_GBK" w:hAnsi="方正小标宋_GBK" w:eastAsia="方正小标宋_GBK" w:cs="方正小标宋_GBK"/>
          <w:b w:val="0"/>
          <w:bCs w:val="0"/>
          <w:i w:val="0"/>
          <w:iCs w:val="0"/>
          <w:caps w:val="0"/>
          <w:color w:val="000000"/>
          <w:spacing w:val="0"/>
          <w:sz w:val="36"/>
          <w:szCs w:val="36"/>
          <w:shd w:val="clear" w:fill="FFFFFF"/>
        </w:rPr>
        <w:t>2026年全国教育科学规划年度项目</w:t>
      </w:r>
      <w:r>
        <w:rPr>
          <w:rFonts w:hint="eastAsia" w:ascii="方正小标宋_GBK" w:hAnsi="方正小标宋_GBK" w:eastAsia="方正小标宋_GBK" w:cs="方正小标宋_GBK"/>
          <w:b w:val="0"/>
          <w:bCs w:val="0"/>
          <w:i w:val="0"/>
          <w:iCs w:val="0"/>
          <w:caps w:val="0"/>
          <w:color w:val="000000"/>
          <w:spacing w:val="0"/>
          <w:sz w:val="36"/>
          <w:szCs w:val="36"/>
          <w:shd w:val="clear" w:fill="FFFFFF"/>
          <w:lang w:val="en-US" w:eastAsia="zh-CN"/>
        </w:rPr>
        <w:t>申报公告</w:t>
      </w:r>
      <w:bookmarkEnd w:id="0"/>
      <w:r>
        <w:rPr>
          <w:rFonts w:hint="default" w:ascii="Times New Roman" w:hAnsi="Times New Roman" w:cs="Times New Roman"/>
          <w:i w:val="0"/>
          <w:iCs w:val="0"/>
          <w:caps w:val="0"/>
          <w:color w:val="FFFFFF"/>
          <w:spacing w:val="0"/>
          <w:sz w:val="38"/>
          <w:szCs w:val="38"/>
          <w:bdr w:val="none" w:color="auto" w:sz="0" w:space="0"/>
          <w:shd w:val="clear" w:fill="FFFFFF"/>
        </w:rPr>
        <w:t>育科学规划年度项目申报公告</w:t>
      </w:r>
    </w:p>
    <w:p w14:paraId="646072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ascii="仿宋_GB2312" w:hAnsi="Times New Roman" w:eastAsia="仿宋_GB2312" w:cs="仿宋_GB2312"/>
          <w:i w:val="0"/>
          <w:iCs w:val="0"/>
          <w:caps w:val="0"/>
          <w:color w:val="000000"/>
          <w:spacing w:val="0"/>
          <w:sz w:val="32"/>
          <w:szCs w:val="32"/>
          <w:bdr w:val="none" w:color="auto" w:sz="0" w:space="0"/>
          <w:shd w:val="clear" w:fill="FFFFFF"/>
        </w:rPr>
        <w:t>经教育部党组会审议批准，现发布《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2026年全国教育科学规划年度项目重点条目与重要方向》，并就做好申报工作有关事项公告如下。</w:t>
      </w:r>
    </w:p>
    <w:p w14:paraId="51EB20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ascii="黑体" w:hAnsi="宋体" w:eastAsia="黑体" w:cs="黑体"/>
          <w:i w:val="0"/>
          <w:iCs w:val="0"/>
          <w:caps w:val="0"/>
          <w:color w:val="000000"/>
          <w:spacing w:val="0"/>
          <w:sz w:val="32"/>
          <w:szCs w:val="32"/>
          <w:bdr w:val="none" w:color="auto" w:sz="0" w:space="0"/>
          <w:shd w:val="clear" w:fill="FFFFFF"/>
        </w:rPr>
        <w:t>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项目示范引导作用，推动中国教育学学科体系、学术体系、话语体系、教材体系建设，推进中国教育学自主知识体系构建，更好服务教育强国建设。</w:t>
      </w:r>
    </w:p>
    <w:p w14:paraId="1C0220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二、</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本次受理申报的年度项目包含国家社会科学基金教育学重点项目、一般项目、青年项目和西部项目；教育部重点项目、青年项目和博士生项目。</w:t>
      </w:r>
    </w:p>
    <w:p w14:paraId="287823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50248E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1EE778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国家青年项目旨在加强对青年人才的扶持和培养，发挥青年学者优势，推进知识创新、理论创新、方法创新。全国教育科学规划年度项目将持续提升青年项目立项规模。</w:t>
      </w:r>
    </w:p>
    <w:p w14:paraId="59D6CA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45FA06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教育部重点项目旨在支撑教育改革发展，注重教育政策研究，支持教育实践创新，推动教育实践经验的理论化体系化。</w:t>
      </w:r>
    </w:p>
    <w:p w14:paraId="34F9DA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教育部青年项目旨在加强对青年人才的扶持和培养，涵养教育学术人才队伍，拓展教育学术视野，鼓励研究方法创新。</w:t>
      </w:r>
    </w:p>
    <w:p w14:paraId="3FF06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博士生项目旨在着力培养博士生独立开展科学研究的能力，提升科研素养，为教育学科可持续发展涵养储备人才。</w:t>
      </w:r>
    </w:p>
    <w:p w14:paraId="0DA9DD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三、</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着眼尊重学者自主探索、激发学术创新活力，列出重点条目和重要方向。申报中国教育学建设研究系列重点项目必须从相应条目中选择，不可调整；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33C0D9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四、</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p>
    <w:p w14:paraId="00B999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（一）国家重点项目和一般项目：具有副高级以上（含）专业技术职称（职务）或具有博士学位。申请人可根据自身研究基础、前期成果、项目论证质量、预期研究成果体量等，选择申报重点项目或一般项目。</w:t>
      </w:r>
    </w:p>
    <w:p w14:paraId="393010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（二）国家青年项目、教育部重点项目、教育部青年项目：不作专业技术职称（职务）或博士学位要求。</w:t>
      </w:r>
    </w:p>
    <w:p w14:paraId="6CB4DB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（三）青年项目：男性申请人年龄不超过35周岁（1991年6月25日后出生），女性申请人年龄不超过40周岁（1986年6月25日后出生）。</w:t>
      </w:r>
    </w:p>
    <w:p w14:paraId="17D08F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7B87A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（五）博士生项目：本年度继续在有关高校试点博士生项目，向中西部适当倾斜。申请人为学术型博士生。其他全日制博士生不能申请各类项目。</w:t>
      </w:r>
    </w:p>
    <w:p w14:paraId="264404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（六）符合申报要求的在站博士后人员可申请，其中全脱产博士后须从所在博士后工作站申请，在职博士后可以从所在工作单位或博士后工作站申请。</w:t>
      </w:r>
    </w:p>
    <w:p w14:paraId="2F1772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5BA35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异议。</w:t>
      </w:r>
    </w:p>
    <w:p w14:paraId="77D63A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六、</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4EF105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w:t>
      </w:r>
      <w:r>
        <w:rPr>
          <w:rFonts w:hint="eastAsia" w:ascii="宋体" w:hAnsi="宋体" w:eastAsia="宋体" w:cs="宋体"/>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项。博士生项目推荐数不占用所属二级管理单位的限额申报指标。</w:t>
      </w:r>
    </w:p>
    <w:p w14:paraId="472F0F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八、</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3475C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九、</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全国教育科学规划年度项目的完成时限最长不超过5年，基础理论研究一般为3-5年，应用对策研究一般为2-3年。博士生项目研究期限为2-3年，确保在读期间完成项目。</w:t>
      </w:r>
    </w:p>
    <w:p w14:paraId="105535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为避免一题多报、交叉申请和重复立项，确保申请人有足够的时间和精力从事项目研究，2026年全国教育科学规划项目年度申报作如下限定：</w:t>
      </w:r>
    </w:p>
    <w:p w14:paraId="2D609A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6C7B36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（二）在研全国教育科学规划项目负责人，不得申报新的全国教育科学规划年度项目（结项证书标注日期应在2026年6月25日之前）。</w:t>
      </w:r>
    </w:p>
    <w:p w14:paraId="10D37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4A13D7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（四）不得通过变换责任单位回避前述条款规定，不得将内容基本相同或相近的申报材料以不同申请人的名义申报。</w:t>
      </w:r>
    </w:p>
    <w:p w14:paraId="4218E4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6FB1FC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1F91C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（七）不得使用与已发表、出版的内容基本相同的研究成果申报全国教育科学规划年度项目。</w:t>
      </w:r>
    </w:p>
    <w:p w14:paraId="3FBAA7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八）申请人须承诺立项后切实担负成果管理责任。立项后凡以全国教育科学规划项目名义发表、出版阶段性成果或最终成果，不得同时标注多个项目资助字样。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6E0E96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本年度项目实行同行专家集中网络评审，专家对《全国教育科学规划项目论证活页》（含《选题说明》，以下简称《活页》）进行匿名评审。《活页》论证字数不超过7000字</w:t>
      </w:r>
      <w:r>
        <w:rPr>
          <w:rFonts w:hint="eastAsia" w:ascii="宋体" w:hAnsi="宋体" w:eastAsia="宋体" w:cs="宋体"/>
          <w:i w:val="0"/>
          <w:iCs w:val="0"/>
          <w:caps w:val="0"/>
          <w:color w:val="000000"/>
          <w:spacing w:val="0"/>
          <w:sz w:val="19"/>
          <w:szCs w:val="19"/>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含图表内容，其中《选题说明》不超过300字），并承诺具有相关领域研究基础，不得出现任何可能透露申请人身份的信息。博士生项目、中小学和幼儿园申请人申报的项目，实行单列单评。</w:t>
      </w:r>
    </w:p>
    <w:p w14:paraId="787C24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十二、申报纪律要求</w:t>
      </w:r>
    </w:p>
    <w:p w14:paraId="116FDF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贯彻落实中央《关于进一步加强科研诚信建设的若干意见》，申报项目须按照《申请书》和《活页》要求如实填写材料，保证申请信息的真实性和准确性、保证没有知识产权争议、没有违背科研诚信要求的行为。</w:t>
      </w:r>
    </w:p>
    <w:p w14:paraId="658C5D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5436EF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64170F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08D8A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十三、</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本年度实行网络申报。“全国教育科学规划管理平台”（https://202.205.185.227/，以下简称平台）中的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项目申报系统</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为本次申报的唯一网络平台。网络申报办法及流程管理以该系统为准。项目申报材料可从全国教育科学规划领导小组办公室（以下简称全规办）平台或网站下载。</w:t>
      </w:r>
      <w:r>
        <w:rPr>
          <w:rFonts w:hint="eastAsia" w:ascii="仿宋_GB2312" w:hAnsi="Times New Roman" w:eastAsia="仿宋_GB2312" w:cs="仿宋_GB2312"/>
          <w:i w:val="0"/>
          <w:iCs w:val="0"/>
          <w:caps w:val="0"/>
          <w:color w:val="000000"/>
          <w:spacing w:val="0"/>
          <w:kern w:val="0"/>
          <w:sz w:val="25"/>
          <w:szCs w:val="25"/>
          <w:bdr w:val="none" w:color="auto" w:sz="0" w:space="0"/>
          <w:shd w:val="clear" w:fill="FFFFFF"/>
          <w:lang w:val="en-US" w:eastAsia="zh-CN" w:bidi="ar"/>
        </w:rPr>
        <w:t>全规办</w:t>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不直接受理个人申报。</w:t>
      </w:r>
    </w:p>
    <w:p w14:paraId="5530C5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十四、申报时间安排</w:t>
      </w:r>
    </w:p>
    <w:p w14:paraId="12B54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报系统于2026年6月10日零时至6月25日17时开放。在此期间申请人可登录平台，填写并导出《申请书》，签字并加盖单位公章后，全文扫描在一个文档中，跟PDF版本的《活页》一起提交到平台上。要确保PDF版本的《申请书》和《活页》内容与在线填报的完全一致。逾期系统自动关闭，不再受理申报（由省级教育科学规划办管理的单位需在此段时间内同步完成审核提交）。</w:t>
      </w:r>
    </w:p>
    <w:p w14:paraId="1797FB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十五、审核时间安排</w:t>
      </w:r>
    </w:p>
    <w:p w14:paraId="36FB6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级管理单位网上审核提交截止时间为2026年7月3日17时。须把加盖公章的《申报数据汇总表》扫描件及审查合格、在限额之内的《申请书》《活页》在平台上提交至全规办。省级教育科学规划办无需在《申请书》上加盖公章。审核期间可以退回修改提交，但不能新增申报。请严格按照以上时间要求审核、报送材料，逾期不予受理。</w:t>
      </w:r>
    </w:p>
    <w:p w14:paraId="01E2D8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rPr>
          <w:rFonts w:hint="default" w:ascii="Times New Roman" w:hAnsi="Times New Roman" w:cs="Times New Roman"/>
          <w:i w:val="0"/>
          <w:iCs w:val="0"/>
          <w:caps w:val="0"/>
          <w:color w:val="303133"/>
          <w:spacing w:val="0"/>
          <w:sz w:val="19"/>
          <w:szCs w:val="19"/>
        </w:rPr>
      </w:pPr>
      <w:r>
        <w:rPr>
          <w:rFonts w:hint="eastAsia" w:ascii="黑体" w:hAnsi="宋体" w:eastAsia="黑体" w:cs="黑体"/>
          <w:i w:val="0"/>
          <w:iCs w:val="0"/>
          <w:caps w:val="0"/>
          <w:color w:val="000000"/>
          <w:spacing w:val="0"/>
          <w:sz w:val="32"/>
          <w:szCs w:val="32"/>
          <w:bdr w:val="none" w:color="auto" w:sz="0" w:space="0"/>
          <w:shd w:val="clear" w:fill="FFFFFF"/>
        </w:rPr>
        <w:t>十六、立项后材料报送安排</w:t>
      </w:r>
    </w:p>
    <w:p w14:paraId="76ECD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平台上提交给全规办的所有材料均视为经过各级单位审核同意的文本。待立项公布后，请二级管理单位在1个月之内，在平台上下载所属立项项目的《申请书》（不需要《活页》），补全公章，将所有立项项目申报书按立项名单顺序扫描为一个PDF文档，并命名为“二级管理单位名称+2026年立项项目申报书（立项数量）”，上传至平台存档。申报年度项目所有类别的《申请书》《活页》和《申报数据汇总表》均无需寄送纸质版。</w:t>
      </w:r>
    </w:p>
    <w:p w14:paraId="09BCE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若有问题需咨询，请先查看《2026年全国教育科学规划各类项目申报常见问题答疑》和《</w: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instrText xml:space="preserve"> HYPERLINK "https://202.205.185.227/indexAction!do_downLoad.action?fId=ff8080818f527e3a018f5b2a02b21127" </w:instrTex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separate"/>
      </w:r>
      <w:r>
        <w:rPr>
          <w:rStyle w:val="8"/>
          <w:rFonts w:hint="eastAsia" w:ascii="仿宋_GB2312" w:hAnsi="Times New Roman" w:eastAsia="仿宋_GB2312" w:cs="仿宋_GB2312"/>
          <w:i w:val="0"/>
          <w:iCs w:val="0"/>
          <w:caps w:val="0"/>
          <w:color w:val="000000"/>
          <w:spacing w:val="0"/>
          <w:sz w:val="32"/>
          <w:szCs w:val="32"/>
          <w:u w:val="none"/>
          <w:bdr w:val="none" w:color="auto" w:sz="0" w:space="0"/>
          <w:shd w:val="clear" w:fill="FFFFFF"/>
        </w:rPr>
        <w:t>全国教育科学规划管理平台操作手册-其他类别项目申报</w: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end"/>
      </w: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》。再有疑问，二级管理单位咨询全规办，地方高校及中小学请先咨询本省教育科学规划办（省级教育科学规划办电话请上管理平台的“通知公告”栏目查询）。</w:t>
      </w:r>
    </w:p>
    <w:p w14:paraId="3F38C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w:t>
      </w:r>
    </w:p>
    <w:p w14:paraId="4F550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64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全规办咨询电话：010—62003909、62003308；</w:t>
      </w:r>
    </w:p>
    <w:p w14:paraId="7610A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640" w:firstLine="640"/>
        <w:jc w:val="lef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平台系统及技术问题请咨询400-800-1636，电子信箱：</w: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instrText xml:space="preserve"> HYPERLINK "mailto:support@e-plugger.com%E3%80%82" </w:instrTex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separate"/>
      </w:r>
      <w:r>
        <w:rPr>
          <w:rStyle w:val="8"/>
          <w:rFonts w:hint="eastAsia" w:ascii="仿宋_GB2312" w:hAnsi="Times New Roman" w:eastAsia="仿宋_GB2312" w:cs="仿宋_GB2312"/>
          <w:i w:val="0"/>
          <w:iCs w:val="0"/>
          <w:caps w:val="0"/>
          <w:color w:val="000000"/>
          <w:spacing w:val="0"/>
          <w:sz w:val="32"/>
          <w:szCs w:val="32"/>
          <w:u w:val="none"/>
          <w:bdr w:val="none" w:color="auto" w:sz="0" w:space="0"/>
          <w:shd w:val="clear" w:fill="FFFFFF"/>
        </w:rPr>
        <w:t>support@e-plugger.com。</w:t>
      </w:r>
      <w:r>
        <w:rPr>
          <w:rFonts w:hint="default" w:ascii="Times New Roman" w:hAnsi="Times New Roman" w:cs="Times New Roman" w:eastAsiaTheme="minorEastAsia"/>
          <w:i w:val="0"/>
          <w:iCs w:val="0"/>
          <w:caps w:val="0"/>
          <w:spacing w:val="0"/>
          <w:kern w:val="0"/>
          <w:sz w:val="19"/>
          <w:szCs w:val="19"/>
          <w:u w:val="none"/>
          <w:bdr w:val="none" w:color="auto" w:sz="0" w:space="0"/>
          <w:shd w:val="clear" w:fill="FFFFFF"/>
          <w:lang w:val="en-US" w:eastAsia="zh-CN" w:bidi="ar"/>
        </w:rPr>
        <w:fldChar w:fldCharType="end"/>
      </w:r>
    </w:p>
    <w:p w14:paraId="305A5A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0" w:lineRule="atLeast"/>
        <w:ind w:left="0" w:right="640" w:firstLine="0"/>
        <w:jc w:val="left"/>
        <w:rPr>
          <w:rFonts w:hint="default" w:ascii="Times New Roman" w:hAnsi="Times New Roman" w:cs="Times New Roman"/>
          <w:i w:val="0"/>
          <w:iCs w:val="0"/>
          <w:caps w:val="0"/>
          <w:color w:val="303133"/>
          <w:spacing w:val="0"/>
          <w:sz w:val="19"/>
          <w:szCs w:val="19"/>
        </w:rPr>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p>
    <w:p w14:paraId="316F3D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0" w:lineRule="atLeast"/>
        <w:ind w:left="0" w:right="0" w:firstLine="640"/>
        <w:jc w:val="left"/>
        <w:rPr>
          <w:rFonts w:hint="default" w:ascii="Times New Roman" w:hAnsi="Times New Roman" w:cs="Times New Roman"/>
          <w:i w:val="0"/>
          <w:iCs w:val="0"/>
          <w:caps w:val="0"/>
          <w:color w:val="303133"/>
          <w:spacing w:val="0"/>
          <w:sz w:val="19"/>
          <w:szCs w:val="19"/>
        </w:rPr>
      </w:pPr>
      <w:r>
        <w:rPr>
          <w:rFonts w:ascii="微软雅黑" w:hAnsi="微软雅黑" w:eastAsia="微软雅黑" w:cs="微软雅黑"/>
          <w:i w:val="0"/>
          <w:iCs w:val="0"/>
          <w:caps w:val="0"/>
          <w:color w:val="303133"/>
          <w:spacing w:val="0"/>
          <w:kern w:val="0"/>
          <w:sz w:val="32"/>
          <w:szCs w:val="32"/>
          <w:bdr w:val="none" w:color="auto" w:sz="0" w:space="0"/>
          <w:shd w:val="clear" w:fill="FFFFFF"/>
          <w:lang w:val="en-US" w:eastAsia="zh-CN" w:bidi="ar"/>
        </w:rPr>
        <w:t> </w:t>
      </w:r>
    </w:p>
    <w:p w14:paraId="41F54F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0" w:lineRule="atLeast"/>
        <w:ind w:left="0" w:right="0" w:firstLine="640"/>
        <w:jc w:val="right"/>
        <w:rPr>
          <w:rFonts w:hint="default" w:ascii="Times New Roman" w:hAnsi="Times New Roman" w:cs="Times New Roman"/>
          <w:i w:val="0"/>
          <w:iCs w:val="0"/>
          <w:caps w:val="0"/>
          <w:color w:val="303133"/>
          <w:spacing w:val="0"/>
          <w:sz w:val="19"/>
          <w:szCs w:val="19"/>
        </w:rPr>
      </w:pP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    全国教育科学规划领导小组办公室</w:t>
      </w:r>
    </w:p>
    <w:p w14:paraId="6F992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0" w:lineRule="atLeast"/>
        <w:ind w:left="0" w:right="640" w:firstLine="640"/>
        <w:jc w:val="right"/>
        <w:rPr>
          <w:rFonts w:hint="default" w:ascii="Times New Roman" w:hAnsi="Times New Roman" w:cs="Times New Roman"/>
          <w:i w:val="0"/>
          <w:iCs w:val="0"/>
          <w:caps w:val="0"/>
          <w:color w:val="303133"/>
          <w:spacing w:val="0"/>
          <w:sz w:val="19"/>
          <w:szCs w:val="19"/>
        </w:rPr>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2026</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日</w:t>
      </w:r>
    </w:p>
    <w:p w14:paraId="166D8E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70" w:lineRule="atLeast"/>
        <w:ind w:left="0" w:right="640" w:firstLine="640"/>
        <w:jc w:val="left"/>
        <w:rPr>
          <w:rFonts w:hint="default" w:ascii="Times New Roman" w:hAnsi="Times New Roman" w:cs="Times New Roman"/>
          <w:i w:val="0"/>
          <w:iCs w:val="0"/>
          <w:caps w:val="0"/>
          <w:color w:val="303133"/>
          <w:spacing w:val="0"/>
          <w:sz w:val="19"/>
          <w:szCs w:val="19"/>
        </w:rPr>
      </w:pPr>
      <w:r>
        <w:rPr>
          <w:rFonts w:hint="default" w:ascii="Times New Roman" w:hAnsi="Times New Roman" w:cs="Times New Roman" w:eastAsiaTheme="minorEastAsia"/>
          <w:i w:val="0"/>
          <w:iCs w:val="0"/>
          <w:caps w:val="0"/>
          <w:color w:val="303133"/>
          <w:spacing w:val="0"/>
          <w:kern w:val="0"/>
          <w:sz w:val="19"/>
          <w:szCs w:val="19"/>
          <w:bdr w:val="none" w:color="auto" w:sz="0" w:space="0"/>
          <w:shd w:val="clear" w:fill="FFFFFF"/>
          <w:lang w:val="en-US" w:eastAsia="zh-CN" w:bidi="ar"/>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4AB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AC8B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AC8B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C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2026-06-01T01:04:24Z</dcterms:created>
  <dc:creator>Admin</dc:creator>
  <cp:lastModifiedBy>肖学建</cp:lastModifiedBy>
  <cp:lastPrinted>2026-06-01T01:07:14Z</cp:lastPrinted>
  <dcterms:modified xsi:type="dcterms:W3CDTF">2026-06-01T01:16:43Z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eyJoZGlkIjoiMjE5MzdiZDM5NmVmOGRhOTVhZjhhYjc2MGUxOTNjYmEiLCJ1c2VySWQiOiIzMTQ1ODU3NTAifQ==</vt:lpwstr>
  </property>
  <property fmtid="{D5CDD505-2E9C-101B-9397-08002B2CF9AE}" pid="4" name="ICV">
    <vt:lpwstr>B4A91CAE26F948478BAF52D7D1F9C85E_12</vt:lpwstr>
  </property>
</Properties>
</file>