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85A27">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5</w:t>
      </w:r>
      <w:r>
        <w:rPr>
          <w:rFonts w:hint="eastAsia" w:ascii="方正小标宋简体" w:hAnsi="方正小标宋简体" w:eastAsia="方正小标宋简体" w:cs="方正小标宋简体"/>
          <w:b/>
          <w:bCs/>
          <w:sz w:val="44"/>
          <w:szCs w:val="44"/>
        </w:rPr>
        <w:t>年湖南开放大学职称改革领导小组</w:t>
      </w:r>
    </w:p>
    <w:p w14:paraId="70234249">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第三次</w:t>
      </w:r>
      <w:r>
        <w:rPr>
          <w:rFonts w:hint="eastAsia" w:ascii="方正小标宋简体" w:hAnsi="方正小标宋简体" w:eastAsia="方正小标宋简体" w:cs="方正小标宋简体"/>
          <w:b/>
          <w:bCs/>
          <w:sz w:val="44"/>
          <w:szCs w:val="44"/>
        </w:rPr>
        <w:t>会议纪要</w:t>
      </w:r>
    </w:p>
    <w:p w14:paraId="1D9CC52F">
      <w:pPr>
        <w:spacing w:line="560" w:lineRule="exact"/>
        <w:rPr>
          <w:rFonts w:hint="eastAsia" w:ascii="方正小标宋简体" w:hAnsi="方正小标宋简体" w:eastAsia="方正小标宋简体" w:cs="方正小标宋简体"/>
          <w:sz w:val="32"/>
          <w:szCs w:val="32"/>
        </w:rPr>
      </w:pPr>
    </w:p>
    <w:p w14:paraId="684F1F5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2025年10月28日，湖南开放大学职称改革领导小组召开第三次会议，听取了2025年高教系列职称评审第二轮公示后反馈复核情况、职称评审信访问题以及评审通过职数的问题，并进行了审议。</w:t>
      </w:r>
    </w:p>
    <w:p w14:paraId="2C375D1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一、第二轮公示反馈复核情况</w:t>
      </w:r>
    </w:p>
    <w:p w14:paraId="67AFC4E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1.某申报人员提出申请：（1）将其项目调整转放至教学板块计分（2）对其中国国际大学生创新大赛两项复核分数。</w:t>
      </w:r>
    </w:p>
    <w:p w14:paraId="2C9C8A9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经复核，其教学方面调整项目计分如下：（1）原4-4-2中2项项目按B5等级在3-4-7中计分，计24分。（2）其指导学生取得国际比赛的2项，按2025年职称评审加分细则复核，无误，维持原计分。</w:t>
      </w:r>
    </w:p>
    <w:p w14:paraId="4AE416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经复核，其科研方面已将4-4-2中的两个横向项目调整至3-4-7计分，总分由10.85调整至9.3。</w:t>
      </w:r>
    </w:p>
    <w:p w14:paraId="6C94E2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2.某申报人员在统一评分口径后，其教育部项目按B5等级计分，计12分。3-4-7由原22分改为13分。</w:t>
      </w:r>
    </w:p>
    <w:p w14:paraId="0743E25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某申报人员提出申请：（1）对其宣传报道进行复核分数。（2）对教材编写未赋分给出理由。（3）科研业绩成果纵向课题请求复核分数。（4）国家社会科学基金“十二五”规划课题子课题请求复核分数。（5）学术论文请求复核分数。</w:t>
      </w:r>
    </w:p>
    <w:p w14:paraId="33B5171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经复核，其师德师风宣传报道学校官网无转载，不计分，维持原计分。</w:t>
      </w:r>
    </w:p>
    <w:p w14:paraId="02F158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复核，其科研方面：（1）其本人公示分数复核后不变。（2）其提交的国社科子课题结题证明目前无计分标准、材料不充分，暂未计分。需要在其本人提供申报书、合同、批准文件、经费文件，确认真实性的基础上拟提交职改领导小组会议确定具体计分标准。（3）其学术论文经上轮职改领导小组会议审定，按照“对于该集刊论文按职称评审量化评分细则中CSSCI来源刊和CSSCI扩展版赋分标准，取正中间值计分”意见，测评组认定为70分，分数无调整。</w:t>
      </w:r>
    </w:p>
    <w:p w14:paraId="191911D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4.某申报人员提出申请：（1）论文代表作均已提交原始材料，但公示表上未填写相关信息，申请补充完善公示表上的代表作信息。（2）其科研成果及业绩学术期刊论文知网可查，请求复核计分。</w:t>
      </w:r>
    </w:p>
    <w:p w14:paraId="0D45030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经复核，情况属实，同意其按现有材料在公示表上完善相关信息。</w:t>
      </w:r>
    </w:p>
    <w:p w14:paraId="051E008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经复核，其科研方面：（1）其有一学术期刊论文目前知网可查，按照评分细则计5分，4-1总分由30分调整至35分。（2）其论文第4—7项，刊物均不在学术期刊目录中，计0分。</w:t>
      </w:r>
    </w:p>
    <w:p w14:paraId="2703DF9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6.某申报人员提出申请：（1）2015年起，其任班导师年限满10年，且年度考核合格，应计7分。（2）指导学生参加全国开放大学举办的竞赛等请求复核计分。（3）教学创新团队建设请求复核计分。</w:t>
      </w:r>
    </w:p>
    <w:p w14:paraId="4F7830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经复核，其材料仅能证明有班主任经历，但无法证明为优秀等次，维持原计分。</w:t>
      </w:r>
    </w:p>
    <w:p w14:paraId="0424A78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经复核，其教学方面：（1）国家开放大学单一专业比赛按市（厅）级计分。二等奖第一计3分，维持原计分。（2）公示材料中未列明，参与省校课程实施团队不计分，维持原计分。</w:t>
      </w:r>
    </w:p>
    <w:p w14:paraId="7623377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sz w:val="32"/>
          <w:szCs w:val="32"/>
          <w:lang w:val="en-US" w:eastAsia="zh-CN"/>
        </w:rPr>
        <w:t>关于有申报人员的有关项目在统一评分口径后的计分认定问题。</w:t>
      </w:r>
    </w:p>
    <w:p w14:paraId="4C00587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经复核，本人公示表填写的为班导师，实际提供材料为班主任考核优秀，班主任最高计分为5分，班主任经历计分由6分调整为5分。</w:t>
      </w:r>
    </w:p>
    <w:p w14:paraId="5199984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8.某申报人员提出申请：（1）继续教育验证材料请求复核计分。（2）提交论文请求复核计分。</w:t>
      </w:r>
    </w:p>
    <w:p w14:paraId="6526585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经复核，在其他目录材料中找到其提供的继续教育验证合格证明，计5分。</w:t>
      </w:r>
    </w:p>
    <w:p w14:paraId="32457B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经复核，其科研方面：（1）提交的六篇论文中，第3—6项，刊物均为非学术期刊，不计分。（2）其4-1公示分数为10分，维持原计分。</w:t>
      </w:r>
    </w:p>
    <w:p w14:paraId="3D5B773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9.某申报人员提出申请：（1）教学竞赛获奖请求复核计分。（2）科研成果请求复核计分。</w:t>
      </w:r>
    </w:p>
    <w:p w14:paraId="02C0C68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经复核，其竞赛均为单项比赛，维持原计分。</w:t>
      </w:r>
    </w:p>
    <w:p w14:paraId="578447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复核，《2025年湖南开放大学职称改革领导小组会议纪要》明确了2021年湖南省远距离教育研究会联合省社科联在开放大学体系开展建党九十周年征文活动评选结果可以作为校级科研成果奖励赋分。目前省社科联其他征文评奖并未纳入计分范围。经复核，该项不符合计分要求，不计分。</w:t>
      </w:r>
    </w:p>
    <w:p w14:paraId="500471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10.某申报人员提出对其教育教学新申报专业情况请求复核计分。</w:t>
      </w:r>
    </w:p>
    <w:p w14:paraId="0A15BE8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经复核，认定其三个专业申报，参与排名第二有效，各计8分，共计24分。</w:t>
      </w:r>
    </w:p>
    <w:p w14:paraId="6AAAE7E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二、关于职称评审信访问题</w:t>
      </w:r>
    </w:p>
    <w:p w14:paraId="1922ED6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接到纪委、监察专员办公室转来群众来信，投诉某申报人员评审资格问题，认为其破格资格中，论文数量和教改论文等方面未达到评审条件。经教学测评小组和科研测评小组复核，结论如下：</w:t>
      </w:r>
    </w:p>
    <w:p w14:paraId="25BB6F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1.教学测评小组复核结论</w:t>
      </w:r>
    </w:p>
    <w:p w14:paraId="06D722B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教学研究论文是指有关教学方法、教学内容、教学形式、教学手段、教学评价、人才培养方案等方面的研究论文。测评组复核认为其论文涉及了人才培养模式改革、教学方法、教学内容、教学手段等教学改革内容，属于宏观探究专业教研领域的教育教学改革研究论文，符合教改论文的要求。</w:t>
      </w:r>
    </w:p>
    <w:p w14:paraId="62F38EC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科研测评小组复核结论</w:t>
      </w:r>
    </w:p>
    <w:p w14:paraId="54992A2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一次职称改革领导小组会议纪要中指出“在资格审查时，2篇高水平论文折算为1篇计算，计算分数时2篇均计分”，这里的“资格审查”是指针对申报绿色通道和破格评审人员的资格，符合这条规则进入评审环节后，每1篇论文既计算数量也计算分数。测评组复核认为其符合“需要在学术期刊中发表4篇论文”的要求。</w:t>
      </w:r>
    </w:p>
    <w:p w14:paraId="403814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会议研究决定，同意教学测评小组和科研测评小组复核结论。</w:t>
      </w:r>
    </w:p>
    <w:p w14:paraId="03671C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三、关于集中评审相关问题</w:t>
      </w:r>
    </w:p>
    <w:p w14:paraId="583B0E7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1.关于集中评审时间确定问题。</w:t>
      </w:r>
    </w:p>
    <w:p w14:paraId="366927A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会议研究决定，根据职称评审工作的进度，经请示省人社厅，拟将集中评审时间安排在11月8日、9日，计划在2天内完成。</w:t>
      </w:r>
    </w:p>
    <w:p w14:paraId="214265A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2.关于集中评审评委会组建和学科分组问题。</w:t>
      </w:r>
    </w:p>
    <w:p w14:paraId="49A09BC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研究决定，根据通过任职资格人员数量以及申报分支专业划分情况，本年度组建17人评审委员会（大评委会），设主任1名，由学校党委书记担任主任委员；设副主任委员2名，由主任委员提名产生。大评委会下设理科组和文科组（含经管类专业）两个学科组，每个学科组由7名专家组成（校内专家4人，校外专家3人），共14人，学科组组长由评委会主任提名校内专家担任。</w:t>
      </w:r>
    </w:p>
    <w:p w14:paraId="39A40C2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val="en-US" w:eastAsia="zh-CN"/>
        </w:rPr>
        <w:t>关于评审通过职数分配的问题。</w:t>
      </w:r>
    </w:p>
    <w:p w14:paraId="216D5E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会议研究决定，本次职称评审，省校、分校的正高、副高的通过指标以及正高、副高绿色通道指标数，根据学校递交人社厅相关报告批复情况，由大评委会决定。</w:t>
      </w:r>
    </w:p>
    <w:p w14:paraId="2E24DC0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分配思政系列指标1个。</w:t>
      </w:r>
    </w:p>
    <w:p w14:paraId="309CE57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4.关于抽调学科组成员组建绿色通道审核组的问题。</w:t>
      </w:r>
    </w:p>
    <w:p w14:paraId="7FDCA4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会议研究决定，集中评审环节先行评审绿色通道申报人员。</w:t>
      </w:r>
    </w:p>
    <w:p w14:paraId="6C0607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79975F-3E57-4847-BA0A-A3970B2E77E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1A3E8260-EE25-4386-9744-FE43DFD05D3A}"/>
  </w:font>
  <w:font w:name="方正小标宋简体">
    <w:panose1 w:val="02000000000000000000"/>
    <w:charset w:val="86"/>
    <w:family w:val="auto"/>
    <w:pitch w:val="default"/>
    <w:sig w:usb0="00000001" w:usb1="08000000" w:usb2="00000000" w:usb3="00000000" w:csb0="00040000" w:csb1="00000000"/>
    <w:embedRegular r:id="rId3" w:fontKey="{57B2C0B5-2E8B-47AC-A1DA-325352D8DD92}"/>
  </w:font>
  <w:font w:name="仿宋">
    <w:panose1 w:val="02010609060101010101"/>
    <w:charset w:val="86"/>
    <w:family w:val="modern"/>
    <w:pitch w:val="default"/>
    <w:sig w:usb0="800002BF" w:usb1="38CF7CFA" w:usb2="00000016" w:usb3="00000000" w:csb0="00040001" w:csb1="00000000"/>
    <w:embedRegular r:id="rId4" w:fontKey="{94FE092F-A98C-44E9-910A-E7CECF3E90D9}"/>
  </w:font>
  <w:font w:name="仿宋_GB2312">
    <w:altName w:val="仿宋"/>
    <w:panose1 w:val="02010609030101010101"/>
    <w:charset w:val="86"/>
    <w:family w:val="auto"/>
    <w:pitch w:val="default"/>
    <w:sig w:usb0="00000000" w:usb1="00000000" w:usb2="00000000" w:usb3="00000000" w:csb0="00040000" w:csb1="00000000"/>
    <w:embedRegular r:id="rId5" w:fontKey="{CCC85BBB-1785-46F9-9E44-163C6155AA0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0C5285"/>
    <w:rsid w:val="12BD15B7"/>
    <w:rsid w:val="270C5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2554</Words>
  <Characters>2654</Characters>
  <Lines>0</Lines>
  <Paragraphs>0</Paragraphs>
  <TotalTime>0</TotalTime>
  <ScaleCrop>false</ScaleCrop>
  <LinksUpToDate>false</LinksUpToDate>
  <CharactersWithSpaces>2658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2025-11-03T03:44:00Z</dcterms:created>
  <dc:creator>谭晗婧</dc:creator>
  <cp:lastModifiedBy>谭晗婧</cp:lastModifiedBy>
  <dcterms:modified xsi:type="dcterms:W3CDTF">2025-11-03T07:40:07Z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DD1864B1403F40EFB581BFFB49AB7A09_11</vt:lpwstr>
  </property>
  <property fmtid="{D5CDD505-2E9C-101B-9397-08002B2CF9AE}" pid="4" name="KSOTemplateDocerSaveRecord">
    <vt:lpwstr>eyJoZGlkIjoiMmEwNTI4MDkzNTczZGYyZGVhNmFjNjQ1MjY0MWMwZDMiLCJ1c2VySWQiOiIyOTI0NjM5In0=</vt:lpwstr>
  </property>
</Properties>
</file>