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9097"/>
        <w:gridCol w:w="1511"/>
        <w:gridCol w:w="1318"/>
        <w:gridCol w:w="1510"/>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8" w:type="dxa"/>
            <w:vAlign w:val="center"/>
          </w:tcPr>
          <w:p w14:paraId="72180F16">
            <w:pPr>
              <w:jc w:val="center"/>
              <w:rPr>
                <w:vertAlign w:val="baseline"/>
              </w:rPr>
            </w:pPr>
          </w:p>
        </w:tc>
        <w:tc>
          <w:tcPr>
            <w:tcW w:w="9097"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511"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318"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1510" w:type="dxa"/>
            <w:vAlign w:val="center"/>
          </w:tcPr>
          <w:p w14:paraId="3D6588BE">
            <w:pPr>
              <w:jc w:val="center"/>
              <w:rPr>
                <w:rFonts w:hint="default"/>
                <w:b/>
                <w:bCs/>
                <w:vertAlign w:val="baseline"/>
                <w:lang w:val="en-US"/>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vertAlign w:val="baseline"/>
                <w:lang w:val="en-US" w:eastAsia="zh-CN"/>
              </w:rPr>
            </w:pPr>
          </w:p>
        </w:tc>
        <w:tc>
          <w:tcPr>
            <w:tcW w:w="9097" w:type="dxa"/>
            <w:vAlign w:val="center"/>
          </w:tcPr>
          <w:p w14:paraId="2C7AA16D">
            <w:pPr>
              <w:adjustRightInd w:val="0"/>
              <w:snapToGrid w:val="0"/>
              <w:rPr>
                <w:rFonts w:hint="eastAsia"/>
                <w:b/>
                <w:bCs/>
                <w:vertAlign w:val="baseline"/>
                <w:lang w:eastAsia="zh-CN"/>
              </w:rPr>
            </w:pPr>
            <w:r>
              <w:rPr>
                <w:rFonts w:hint="eastAsia"/>
                <w:b w:val="0"/>
                <w:bCs w:val="0"/>
                <w:color w:val="000000"/>
                <w:vertAlign w:val="baseline"/>
                <w:lang w:val="en-US" w:eastAsia="zh-CN"/>
              </w:rPr>
              <w:t>1.思想政教育工作先进个人，湖南有色金属管理局，2015年；</w:t>
            </w:r>
          </w:p>
        </w:tc>
        <w:tc>
          <w:tcPr>
            <w:tcW w:w="1511" w:type="dxa"/>
            <w:vAlign w:val="center"/>
          </w:tcPr>
          <w:p w14:paraId="7BB56213">
            <w:pPr>
              <w:jc w:val="center"/>
              <w:rPr>
                <w:rFonts w:hint="default" w:eastAsiaTheme="minorEastAsia"/>
                <w:vertAlign w:val="baseline"/>
                <w:lang w:val="en-US" w:eastAsia="zh-CN"/>
              </w:rPr>
            </w:pPr>
            <w:r>
              <w:rPr>
                <w:rFonts w:hint="eastAsia"/>
                <w:vertAlign w:val="baseline"/>
                <w:lang w:val="en-US" w:eastAsia="zh-CN"/>
              </w:rPr>
              <w:t>19</w:t>
            </w:r>
          </w:p>
        </w:tc>
        <w:tc>
          <w:tcPr>
            <w:tcW w:w="1318" w:type="dxa"/>
            <w:vAlign w:val="center"/>
          </w:tcPr>
          <w:p w14:paraId="4715337E">
            <w:pPr>
              <w:jc w:val="center"/>
              <w:rPr>
                <w:rFonts w:hint="default"/>
                <w:vertAlign w:val="baseline"/>
                <w:lang w:val="en-US" w:eastAsia="zh-CN"/>
              </w:rPr>
            </w:pPr>
            <w:r>
              <w:rPr>
                <w:rFonts w:hint="eastAsia"/>
                <w:vertAlign w:val="baseline"/>
                <w:lang w:val="en-US" w:eastAsia="zh-CN"/>
              </w:rPr>
              <w:t>6</w:t>
            </w:r>
          </w:p>
        </w:tc>
        <w:tc>
          <w:tcPr>
            <w:tcW w:w="1510" w:type="dxa"/>
            <w:vAlign w:val="center"/>
          </w:tcPr>
          <w:p w14:paraId="0D01FA54">
            <w:pPr>
              <w:jc w:val="center"/>
              <w:rPr>
                <w:rFonts w:hint="eastAsia" w:eastAsiaTheme="minorEastAsia"/>
                <w:vertAlign w:val="baseline"/>
                <w:lang w:val="en-US" w:eastAsia="zh-CN"/>
              </w:rPr>
            </w:pPr>
            <w:r>
              <w:rPr>
                <w:rFonts w:hint="eastAsia"/>
                <w:vertAlign w:val="baseline"/>
                <w:lang w:val="en-US" w:eastAsia="zh-CN"/>
              </w:rPr>
              <w:t>6</w:t>
            </w:r>
          </w:p>
        </w:tc>
      </w:tr>
      <w:tr w14:paraId="2A1EE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ECCC6CA">
            <w:pPr>
              <w:jc w:val="center"/>
              <w:rPr>
                <w:rFonts w:hint="default"/>
                <w:b w:val="0"/>
                <w:bCs w:val="0"/>
                <w:vertAlign w:val="baseline"/>
                <w:lang w:val="en-US" w:eastAsia="zh-CN"/>
              </w:rPr>
            </w:pPr>
          </w:p>
        </w:tc>
        <w:tc>
          <w:tcPr>
            <w:tcW w:w="9097" w:type="dxa"/>
            <w:vAlign w:val="center"/>
          </w:tcPr>
          <w:p w14:paraId="79B65DC8">
            <w:pPr>
              <w:adjustRightInd w:val="0"/>
              <w:snapToGrid w:val="0"/>
              <w:rPr>
                <w:rFonts w:hint="eastAsia"/>
                <w:b/>
                <w:bCs/>
                <w:vertAlign w:val="baseline"/>
                <w:lang w:eastAsia="zh-CN"/>
              </w:rPr>
            </w:pPr>
            <w:r>
              <w:rPr>
                <w:rFonts w:hint="eastAsia"/>
                <w:color w:val="000000"/>
                <w:vertAlign w:val="baseline"/>
                <w:lang w:val="en-US" w:eastAsia="zh-CN"/>
              </w:rPr>
              <w:t>2.优秀教师，湖南省老干部大学，2024；</w:t>
            </w:r>
          </w:p>
        </w:tc>
        <w:tc>
          <w:tcPr>
            <w:tcW w:w="1511" w:type="dxa"/>
            <w:vAlign w:val="center"/>
          </w:tcPr>
          <w:p w14:paraId="0173B79F">
            <w:pPr>
              <w:jc w:val="center"/>
              <w:rPr>
                <w:rFonts w:hint="default" w:eastAsiaTheme="minorEastAsia"/>
                <w:vertAlign w:val="baseline"/>
                <w:lang w:val="en-US" w:eastAsia="zh-CN"/>
              </w:rPr>
            </w:pPr>
            <w:r>
              <w:rPr>
                <w:rFonts w:hint="eastAsia"/>
                <w:vertAlign w:val="baseline"/>
                <w:lang w:val="en-US" w:eastAsia="zh-CN"/>
              </w:rPr>
              <w:t>20</w:t>
            </w:r>
          </w:p>
        </w:tc>
        <w:tc>
          <w:tcPr>
            <w:tcW w:w="1318" w:type="dxa"/>
            <w:vAlign w:val="center"/>
          </w:tcPr>
          <w:p w14:paraId="55C56507">
            <w:pPr>
              <w:jc w:val="center"/>
              <w:rPr>
                <w:rFonts w:hint="default"/>
                <w:vertAlign w:val="baseline"/>
                <w:lang w:val="en-US" w:eastAsia="zh-CN"/>
              </w:rPr>
            </w:pPr>
            <w:r>
              <w:rPr>
                <w:rFonts w:hint="eastAsia"/>
                <w:vertAlign w:val="baseline"/>
                <w:lang w:val="en-US" w:eastAsia="zh-CN"/>
              </w:rPr>
              <w:t>6</w:t>
            </w:r>
          </w:p>
        </w:tc>
        <w:tc>
          <w:tcPr>
            <w:tcW w:w="1510" w:type="dxa"/>
            <w:vAlign w:val="center"/>
          </w:tcPr>
          <w:p w14:paraId="0A08B02B">
            <w:pPr>
              <w:jc w:val="center"/>
              <w:rPr>
                <w:rFonts w:hint="eastAsia" w:eastAsiaTheme="minorEastAsia"/>
                <w:vertAlign w:val="baseline"/>
                <w:lang w:val="en-US" w:eastAsia="zh-CN"/>
              </w:rPr>
            </w:pPr>
            <w:r>
              <w:rPr>
                <w:rFonts w:hint="eastAsia"/>
                <w:vertAlign w:val="baseline"/>
                <w:lang w:val="en-US" w:eastAsia="zh-CN"/>
              </w:rPr>
              <w:t>6</w:t>
            </w:r>
          </w:p>
        </w:tc>
      </w:tr>
      <w:tr w14:paraId="4DE5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24D113D">
            <w:pPr>
              <w:jc w:val="center"/>
              <w:rPr>
                <w:rFonts w:hint="default"/>
                <w:b w:val="0"/>
                <w:bCs w:val="0"/>
                <w:vertAlign w:val="baseline"/>
                <w:lang w:val="en-US" w:eastAsia="zh-CN"/>
              </w:rPr>
            </w:pPr>
          </w:p>
        </w:tc>
        <w:tc>
          <w:tcPr>
            <w:tcW w:w="9097" w:type="dxa"/>
            <w:vAlign w:val="center"/>
          </w:tcPr>
          <w:p w14:paraId="2C2392EC">
            <w:pPr>
              <w:adjustRightInd w:val="0"/>
              <w:snapToGrid w:val="0"/>
              <w:rPr>
                <w:rFonts w:hint="eastAsia"/>
                <w:b/>
                <w:bCs/>
                <w:vertAlign w:val="baseline"/>
                <w:lang w:eastAsia="zh-CN"/>
              </w:rPr>
            </w:pPr>
            <w:r>
              <w:rPr>
                <w:rFonts w:hint="eastAsia"/>
                <w:color w:val="000000"/>
                <w:vertAlign w:val="baseline"/>
                <w:lang w:val="en-US" w:eastAsia="zh-CN"/>
              </w:rPr>
              <w:t>3.先进工作者，湖南省委老干部局，2017年；</w:t>
            </w:r>
          </w:p>
        </w:tc>
        <w:tc>
          <w:tcPr>
            <w:tcW w:w="1511" w:type="dxa"/>
            <w:vAlign w:val="center"/>
          </w:tcPr>
          <w:p w14:paraId="6BD8A74D">
            <w:pPr>
              <w:jc w:val="center"/>
              <w:rPr>
                <w:rFonts w:hint="default" w:eastAsiaTheme="minorEastAsia"/>
                <w:vertAlign w:val="baseline"/>
                <w:lang w:val="en-US" w:eastAsia="zh-CN"/>
              </w:rPr>
            </w:pPr>
            <w:r>
              <w:rPr>
                <w:rFonts w:hint="eastAsia"/>
                <w:vertAlign w:val="baseline"/>
                <w:lang w:val="en-US" w:eastAsia="zh-CN"/>
              </w:rPr>
              <w:t>21</w:t>
            </w:r>
          </w:p>
        </w:tc>
        <w:tc>
          <w:tcPr>
            <w:tcW w:w="1318" w:type="dxa"/>
            <w:vAlign w:val="center"/>
          </w:tcPr>
          <w:p w14:paraId="02F0FACD">
            <w:pPr>
              <w:jc w:val="center"/>
              <w:rPr>
                <w:rFonts w:hint="default"/>
                <w:vertAlign w:val="baseline"/>
                <w:lang w:val="en-US" w:eastAsia="zh-CN"/>
              </w:rPr>
            </w:pPr>
            <w:r>
              <w:rPr>
                <w:rFonts w:hint="eastAsia"/>
                <w:vertAlign w:val="baseline"/>
                <w:lang w:val="en-US" w:eastAsia="zh-CN"/>
              </w:rPr>
              <w:t>6</w:t>
            </w:r>
          </w:p>
        </w:tc>
        <w:tc>
          <w:tcPr>
            <w:tcW w:w="1510" w:type="dxa"/>
            <w:vAlign w:val="center"/>
          </w:tcPr>
          <w:p w14:paraId="172693E5">
            <w:pPr>
              <w:jc w:val="center"/>
              <w:rPr>
                <w:rFonts w:hint="eastAsia" w:eastAsiaTheme="minorEastAsia"/>
                <w:vertAlign w:val="baseline"/>
                <w:lang w:val="en-US" w:eastAsia="zh-CN"/>
              </w:rPr>
            </w:pPr>
            <w:r>
              <w:rPr>
                <w:rFonts w:hint="eastAsia"/>
                <w:vertAlign w:val="baseline"/>
                <w:lang w:val="en-US" w:eastAsia="zh-CN"/>
              </w:rPr>
              <w:t>6</w:t>
            </w:r>
          </w:p>
        </w:tc>
      </w:tr>
      <w:tr w14:paraId="3B8E4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AE738C8">
            <w:pPr>
              <w:jc w:val="center"/>
              <w:rPr>
                <w:rFonts w:hint="default"/>
                <w:b w:val="0"/>
                <w:bCs w:val="0"/>
                <w:vertAlign w:val="baseline"/>
                <w:lang w:val="en-US" w:eastAsia="zh-CN"/>
              </w:rPr>
            </w:pPr>
          </w:p>
        </w:tc>
        <w:tc>
          <w:tcPr>
            <w:tcW w:w="9097" w:type="dxa"/>
            <w:vAlign w:val="center"/>
          </w:tcPr>
          <w:p w14:paraId="09FE51B1">
            <w:pPr>
              <w:rPr>
                <w:rFonts w:hint="eastAsia"/>
                <w:b/>
                <w:bCs/>
                <w:vertAlign w:val="baseline"/>
                <w:lang w:eastAsia="zh-CN"/>
              </w:rPr>
            </w:pPr>
            <w:r>
              <w:rPr>
                <w:rFonts w:hint="eastAsia"/>
                <w:color w:val="000000"/>
                <w:vertAlign w:val="baseline"/>
                <w:lang w:val="en-US" w:eastAsia="zh-CN"/>
              </w:rPr>
              <w:t>4.先进个人，湖南省委老干部局，2018年；</w:t>
            </w:r>
          </w:p>
        </w:tc>
        <w:tc>
          <w:tcPr>
            <w:tcW w:w="1511" w:type="dxa"/>
            <w:vAlign w:val="center"/>
          </w:tcPr>
          <w:p w14:paraId="12C1EBF7">
            <w:pPr>
              <w:jc w:val="center"/>
              <w:rPr>
                <w:rFonts w:hint="default" w:eastAsiaTheme="minorEastAsia"/>
                <w:vertAlign w:val="baseline"/>
                <w:lang w:val="en-US" w:eastAsia="zh-CN"/>
              </w:rPr>
            </w:pPr>
            <w:r>
              <w:rPr>
                <w:rFonts w:hint="eastAsia"/>
                <w:vertAlign w:val="baseline"/>
                <w:lang w:val="en-US" w:eastAsia="zh-CN"/>
              </w:rPr>
              <w:t>22</w:t>
            </w:r>
          </w:p>
        </w:tc>
        <w:tc>
          <w:tcPr>
            <w:tcW w:w="1318" w:type="dxa"/>
            <w:vAlign w:val="center"/>
          </w:tcPr>
          <w:p w14:paraId="5FD27FB2">
            <w:pPr>
              <w:jc w:val="center"/>
              <w:rPr>
                <w:rFonts w:hint="default"/>
                <w:vertAlign w:val="baseline"/>
                <w:lang w:val="en-US" w:eastAsia="zh-CN"/>
              </w:rPr>
            </w:pPr>
            <w:r>
              <w:rPr>
                <w:rFonts w:hint="eastAsia"/>
                <w:vertAlign w:val="baseline"/>
                <w:lang w:val="en-US" w:eastAsia="zh-CN"/>
              </w:rPr>
              <w:t>6</w:t>
            </w:r>
          </w:p>
        </w:tc>
        <w:tc>
          <w:tcPr>
            <w:tcW w:w="1510" w:type="dxa"/>
            <w:vAlign w:val="center"/>
          </w:tcPr>
          <w:p w14:paraId="48AEDD09">
            <w:pPr>
              <w:jc w:val="center"/>
              <w:rPr>
                <w:rFonts w:hint="eastAsia" w:eastAsiaTheme="minorEastAsia"/>
                <w:vertAlign w:val="baseline"/>
                <w:lang w:val="en-US" w:eastAsia="zh-CN"/>
              </w:rPr>
            </w:pPr>
            <w:r>
              <w:rPr>
                <w:rFonts w:hint="eastAsia"/>
                <w:vertAlign w:val="baseline"/>
                <w:lang w:val="en-US" w:eastAsia="zh-CN"/>
              </w:rPr>
              <w:t>6</w:t>
            </w:r>
          </w:p>
        </w:tc>
      </w:tr>
      <w:tr w14:paraId="015B1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336F9B">
            <w:pPr>
              <w:jc w:val="center"/>
              <w:rPr>
                <w:rFonts w:hint="default"/>
                <w:b w:val="0"/>
                <w:bCs w:val="0"/>
                <w:vertAlign w:val="baseline"/>
                <w:lang w:val="en-US" w:eastAsia="zh-CN"/>
              </w:rPr>
            </w:pPr>
          </w:p>
        </w:tc>
        <w:tc>
          <w:tcPr>
            <w:tcW w:w="9097" w:type="dxa"/>
            <w:vAlign w:val="center"/>
          </w:tcPr>
          <w:p w14:paraId="239F3267">
            <w:pPr>
              <w:rPr>
                <w:rFonts w:hint="eastAsia"/>
                <w:b/>
                <w:bCs/>
                <w:vertAlign w:val="baseline"/>
                <w:lang w:eastAsia="zh-CN"/>
              </w:rPr>
            </w:pPr>
            <w:r>
              <w:rPr>
                <w:rFonts w:hint="eastAsia"/>
                <w:color w:val="000000"/>
                <w:vertAlign w:val="baseline"/>
                <w:lang w:val="en-US" w:eastAsia="zh-CN"/>
              </w:rPr>
              <w:t>5.工作积极分子，湖南省委老干部局，2019年；</w:t>
            </w:r>
          </w:p>
        </w:tc>
        <w:tc>
          <w:tcPr>
            <w:tcW w:w="1511" w:type="dxa"/>
            <w:vAlign w:val="center"/>
          </w:tcPr>
          <w:p w14:paraId="743D1B7C">
            <w:pPr>
              <w:jc w:val="center"/>
              <w:rPr>
                <w:rFonts w:hint="default" w:eastAsiaTheme="minorEastAsia"/>
                <w:vertAlign w:val="baseline"/>
                <w:lang w:val="en-US" w:eastAsia="zh-CN"/>
              </w:rPr>
            </w:pPr>
            <w:r>
              <w:rPr>
                <w:rFonts w:hint="eastAsia"/>
                <w:vertAlign w:val="baseline"/>
                <w:lang w:val="en-US" w:eastAsia="zh-CN"/>
              </w:rPr>
              <w:t>23</w:t>
            </w:r>
          </w:p>
        </w:tc>
        <w:tc>
          <w:tcPr>
            <w:tcW w:w="1318" w:type="dxa"/>
            <w:vAlign w:val="center"/>
          </w:tcPr>
          <w:p w14:paraId="0D165C96">
            <w:pPr>
              <w:jc w:val="center"/>
              <w:rPr>
                <w:rFonts w:hint="default"/>
                <w:vertAlign w:val="baseline"/>
                <w:lang w:val="en-US" w:eastAsia="zh-CN"/>
              </w:rPr>
            </w:pPr>
            <w:r>
              <w:rPr>
                <w:rFonts w:hint="eastAsia"/>
                <w:vertAlign w:val="baseline"/>
                <w:lang w:val="en-US" w:eastAsia="zh-CN"/>
              </w:rPr>
              <w:t>6</w:t>
            </w:r>
          </w:p>
        </w:tc>
        <w:tc>
          <w:tcPr>
            <w:tcW w:w="1510" w:type="dxa"/>
            <w:vAlign w:val="center"/>
          </w:tcPr>
          <w:p w14:paraId="2131A268">
            <w:pPr>
              <w:jc w:val="center"/>
              <w:rPr>
                <w:rFonts w:hint="eastAsia" w:eastAsiaTheme="minorEastAsia"/>
                <w:vertAlign w:val="baseline"/>
                <w:lang w:val="en-US" w:eastAsia="zh-CN"/>
              </w:rPr>
            </w:pPr>
            <w:r>
              <w:rPr>
                <w:rFonts w:hint="eastAsia"/>
                <w:vertAlign w:val="baseline"/>
                <w:lang w:val="en-US" w:eastAsia="zh-CN"/>
              </w:rPr>
              <w:t>6</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2A00A9">
            <w:pPr>
              <w:jc w:val="center"/>
              <w:rPr>
                <w:rFonts w:hint="default" w:eastAsiaTheme="minorEastAsia"/>
                <w:b/>
                <w:bCs/>
                <w:vertAlign w:val="baseline"/>
                <w:lang w:val="en-US" w:eastAsia="zh-CN"/>
              </w:rPr>
            </w:pPr>
            <w:r>
              <w:rPr>
                <w:rFonts w:hint="eastAsia"/>
                <w:b/>
                <w:bCs/>
                <w:vertAlign w:val="baseline"/>
                <w:lang w:val="en-US" w:eastAsia="zh-CN"/>
              </w:rPr>
              <w:t>1</w:t>
            </w:r>
          </w:p>
        </w:tc>
        <w:tc>
          <w:tcPr>
            <w:tcW w:w="9097" w:type="dxa"/>
            <w:vAlign w:val="center"/>
          </w:tcPr>
          <w:p w14:paraId="511EEEF9">
            <w:pPr>
              <w:adjustRightInd w:val="0"/>
              <w:snapToGrid w:val="0"/>
              <w:rPr>
                <w:color w:val="FF0000"/>
                <w:vertAlign w:val="baseline"/>
              </w:rPr>
            </w:pPr>
            <w:r>
              <w:rPr>
                <w:rFonts w:hint="eastAsia"/>
                <w:color w:val="000000"/>
                <w:vertAlign w:val="baseline"/>
                <w:lang w:val="en-US" w:eastAsia="zh-CN"/>
              </w:rPr>
              <w:t>中国网、消费日报、凤凰网，立鸿鹄志 怀桑榆情——记湖南广播电视大学优秀教育工作者朱新洲，2020年；（学校网站2020年9月15日进行转载）</w:t>
            </w:r>
          </w:p>
        </w:tc>
        <w:tc>
          <w:tcPr>
            <w:tcW w:w="1511" w:type="dxa"/>
            <w:vAlign w:val="center"/>
          </w:tcPr>
          <w:p w14:paraId="6617FC87">
            <w:pPr>
              <w:jc w:val="center"/>
              <w:rPr>
                <w:rFonts w:hint="default" w:eastAsiaTheme="minorEastAsia"/>
                <w:vertAlign w:val="baseline"/>
                <w:lang w:val="en-US" w:eastAsia="zh-CN"/>
              </w:rPr>
            </w:pPr>
            <w:r>
              <w:rPr>
                <w:rFonts w:hint="eastAsia"/>
                <w:vertAlign w:val="baseline"/>
                <w:lang w:val="en-US" w:eastAsia="zh-CN"/>
              </w:rPr>
              <w:t>24-32</w:t>
            </w:r>
          </w:p>
        </w:tc>
        <w:tc>
          <w:tcPr>
            <w:tcW w:w="1318" w:type="dxa"/>
            <w:vAlign w:val="center"/>
          </w:tcPr>
          <w:p w14:paraId="03542798">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25</w:t>
            </w:r>
          </w:p>
        </w:tc>
        <w:tc>
          <w:tcPr>
            <w:tcW w:w="1510" w:type="dxa"/>
            <w:vAlign w:val="center"/>
          </w:tcPr>
          <w:p w14:paraId="3B211392">
            <w:pPr>
              <w:jc w:val="center"/>
              <w:rPr>
                <w:rFonts w:hint="default" w:eastAsiaTheme="minorEastAsia"/>
                <w:vertAlign w:val="baseline"/>
                <w:lang w:val="en-US" w:eastAsia="zh-CN"/>
              </w:rPr>
            </w:pPr>
            <w:r>
              <w:rPr>
                <w:rFonts w:hint="eastAsia"/>
                <w:vertAlign w:val="baseline"/>
                <w:lang w:val="en-US" w:eastAsia="zh-CN"/>
              </w:rPr>
              <w:t>25</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vertAlign w:val="baseline"/>
                <w:lang w:val="en-US" w:eastAsia="zh-CN"/>
              </w:rPr>
            </w:pPr>
          </w:p>
        </w:tc>
        <w:tc>
          <w:tcPr>
            <w:tcW w:w="9097" w:type="dxa"/>
            <w:vAlign w:val="center"/>
          </w:tcPr>
          <w:p w14:paraId="34B71973">
            <w:pPr>
              <w:adjustRightInd w:val="0"/>
              <w:snapToGrid w:val="0"/>
              <w:rPr>
                <w:rFonts w:hint="default" w:eastAsiaTheme="minorEastAsia"/>
                <w:vertAlign w:val="baseline"/>
                <w:lang w:val="en-US" w:eastAsia="zh-CN"/>
              </w:rPr>
            </w:pPr>
            <w:r>
              <w:rPr>
                <w:rFonts w:hint="eastAsia"/>
                <w:color w:val="000000"/>
                <w:vertAlign w:val="baseline"/>
                <w:lang w:val="en-US" w:eastAsia="zh-CN"/>
              </w:rPr>
              <w:t>1.优秀共产党员，湖南有色金属职业技术学院，2015年；</w:t>
            </w:r>
          </w:p>
        </w:tc>
        <w:tc>
          <w:tcPr>
            <w:tcW w:w="1511" w:type="dxa"/>
            <w:vAlign w:val="center"/>
          </w:tcPr>
          <w:p w14:paraId="45C58774">
            <w:pPr>
              <w:jc w:val="center"/>
              <w:rPr>
                <w:rFonts w:hint="default" w:eastAsiaTheme="minorEastAsia"/>
                <w:vertAlign w:val="baseline"/>
                <w:lang w:val="en-US" w:eastAsia="zh-CN"/>
              </w:rPr>
            </w:pPr>
            <w:r>
              <w:rPr>
                <w:rFonts w:hint="eastAsia"/>
                <w:vertAlign w:val="baseline"/>
                <w:lang w:val="en-US" w:eastAsia="zh-CN"/>
              </w:rPr>
              <w:t>17</w:t>
            </w:r>
          </w:p>
        </w:tc>
        <w:tc>
          <w:tcPr>
            <w:tcW w:w="1318" w:type="dxa"/>
            <w:vAlign w:val="center"/>
          </w:tcPr>
          <w:p w14:paraId="5EEB0800">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1510" w:type="dxa"/>
            <w:shd w:val="clear"/>
            <w:vAlign w:val="center"/>
          </w:tcPr>
          <w:p w14:paraId="50BFBD63">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r>
      <w:tr w14:paraId="5C553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AC7786C">
            <w:pPr>
              <w:jc w:val="center"/>
              <w:rPr>
                <w:rFonts w:hint="eastAsia" w:eastAsiaTheme="minorEastAsia"/>
                <w:b/>
                <w:bCs/>
                <w:vertAlign w:val="baseline"/>
                <w:lang w:val="en-US" w:eastAsia="zh-CN"/>
              </w:rPr>
            </w:pPr>
          </w:p>
        </w:tc>
        <w:tc>
          <w:tcPr>
            <w:tcW w:w="9097" w:type="dxa"/>
            <w:vAlign w:val="center"/>
          </w:tcPr>
          <w:p w14:paraId="70D88366">
            <w:pPr>
              <w:adjustRightInd w:val="0"/>
              <w:snapToGrid w:val="0"/>
              <w:rPr>
                <w:rFonts w:hint="eastAsia"/>
                <w:b w:val="0"/>
                <w:bCs w:val="0"/>
                <w:color w:val="FF0000"/>
                <w:vertAlign w:val="baseline"/>
                <w:lang w:eastAsia="zh-CN"/>
              </w:rPr>
            </w:pPr>
            <w:r>
              <w:rPr>
                <w:rFonts w:hint="eastAsia"/>
                <w:b w:val="0"/>
                <w:bCs w:val="0"/>
                <w:color w:val="000000"/>
                <w:vertAlign w:val="baseline"/>
                <w:lang w:val="en-US" w:eastAsia="zh-CN"/>
              </w:rPr>
              <w:t>2.优秀共产党员，湖南广播电视大学，2020年；</w:t>
            </w:r>
          </w:p>
        </w:tc>
        <w:tc>
          <w:tcPr>
            <w:tcW w:w="1511" w:type="dxa"/>
            <w:vAlign w:val="center"/>
          </w:tcPr>
          <w:p w14:paraId="28EC3529">
            <w:pPr>
              <w:jc w:val="center"/>
              <w:rPr>
                <w:rFonts w:hint="default" w:eastAsiaTheme="minorEastAsia"/>
                <w:vertAlign w:val="baseline"/>
                <w:lang w:val="en-US" w:eastAsia="zh-CN"/>
              </w:rPr>
            </w:pPr>
            <w:r>
              <w:rPr>
                <w:rFonts w:hint="eastAsia"/>
                <w:vertAlign w:val="baseline"/>
                <w:lang w:val="en-US" w:eastAsia="zh-CN"/>
              </w:rPr>
              <w:t>18</w:t>
            </w:r>
          </w:p>
        </w:tc>
        <w:tc>
          <w:tcPr>
            <w:tcW w:w="1318" w:type="dxa"/>
            <w:vAlign w:val="center"/>
          </w:tcPr>
          <w:p w14:paraId="4871E8AF">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1510" w:type="dxa"/>
            <w:shd w:val="clear"/>
            <w:vAlign w:val="center"/>
          </w:tcPr>
          <w:p w14:paraId="0E5D368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r>
      <w:tr w14:paraId="442E6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38531BF2">
            <w:pPr>
              <w:jc w:val="center"/>
              <w:rPr>
                <w:rFonts w:hint="eastAsia" w:eastAsiaTheme="minorEastAsia"/>
                <w:b/>
                <w:bCs/>
                <w:vertAlign w:val="baseline"/>
                <w:lang w:val="en-US" w:eastAsia="zh-CN"/>
              </w:rPr>
            </w:pPr>
          </w:p>
        </w:tc>
        <w:tc>
          <w:tcPr>
            <w:tcW w:w="9097" w:type="dxa"/>
            <w:vAlign w:val="center"/>
          </w:tcPr>
          <w:p w14:paraId="5F5CEA34">
            <w:pPr>
              <w:rPr>
                <w:rFonts w:hint="eastAsia"/>
                <w:b w:val="0"/>
                <w:bCs w:val="0"/>
                <w:color w:val="FF0000"/>
                <w:vertAlign w:val="baseline"/>
                <w:lang w:eastAsia="zh-CN"/>
              </w:rPr>
            </w:pPr>
            <w:r>
              <w:rPr>
                <w:rFonts w:hint="eastAsia"/>
                <w:color w:val="000000"/>
                <w:vertAlign w:val="baseline"/>
                <w:lang w:val="en-US" w:eastAsia="zh-CN"/>
              </w:rPr>
              <w:t>3.湖南省社区教育优秀教师，湖南开放大学，2022年；</w:t>
            </w:r>
          </w:p>
        </w:tc>
        <w:tc>
          <w:tcPr>
            <w:tcW w:w="1511" w:type="dxa"/>
            <w:vAlign w:val="center"/>
          </w:tcPr>
          <w:p w14:paraId="6854844B">
            <w:pPr>
              <w:jc w:val="center"/>
              <w:rPr>
                <w:rFonts w:hint="default" w:eastAsiaTheme="minorEastAsia"/>
                <w:vertAlign w:val="baseline"/>
                <w:lang w:val="en-US" w:eastAsia="zh-CN"/>
              </w:rPr>
            </w:pPr>
            <w:r>
              <w:rPr>
                <w:rFonts w:hint="eastAsia"/>
                <w:vertAlign w:val="baseline"/>
                <w:lang w:val="en-US" w:eastAsia="zh-CN"/>
              </w:rPr>
              <w:t>33</w:t>
            </w:r>
          </w:p>
        </w:tc>
        <w:tc>
          <w:tcPr>
            <w:tcW w:w="1318" w:type="dxa"/>
            <w:vAlign w:val="center"/>
          </w:tcPr>
          <w:p w14:paraId="0453DA95">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1510" w:type="dxa"/>
            <w:shd w:val="clear"/>
            <w:vAlign w:val="center"/>
          </w:tcPr>
          <w:p w14:paraId="6CDA356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r>
      <w:tr w14:paraId="4A4BC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403CB16A">
            <w:pPr>
              <w:jc w:val="center"/>
              <w:rPr>
                <w:rFonts w:hint="eastAsia" w:eastAsiaTheme="minorEastAsia"/>
                <w:b/>
                <w:bCs/>
                <w:vertAlign w:val="baseline"/>
                <w:lang w:val="en-US" w:eastAsia="zh-CN"/>
              </w:rPr>
            </w:pPr>
          </w:p>
        </w:tc>
        <w:tc>
          <w:tcPr>
            <w:tcW w:w="9097" w:type="dxa"/>
            <w:vAlign w:val="center"/>
          </w:tcPr>
          <w:p w14:paraId="4E9676E2">
            <w:pPr>
              <w:rPr>
                <w:rFonts w:hint="eastAsia"/>
                <w:b w:val="0"/>
                <w:bCs w:val="0"/>
                <w:color w:val="FF0000"/>
                <w:vertAlign w:val="baseline"/>
                <w:lang w:eastAsia="zh-CN"/>
              </w:rPr>
            </w:pPr>
            <w:r>
              <w:rPr>
                <w:rFonts w:hint="eastAsia"/>
                <w:color w:val="000000"/>
                <w:vertAlign w:val="baseline"/>
                <w:lang w:val="en-US" w:eastAsia="zh-CN"/>
              </w:rPr>
              <w:t>4.湖南省社区教育优秀教师，湖南省终身教育指导服务中心，2023年；</w:t>
            </w:r>
          </w:p>
        </w:tc>
        <w:tc>
          <w:tcPr>
            <w:tcW w:w="1511" w:type="dxa"/>
            <w:vAlign w:val="center"/>
          </w:tcPr>
          <w:p w14:paraId="6B287B60">
            <w:pPr>
              <w:jc w:val="center"/>
              <w:rPr>
                <w:rFonts w:hint="default" w:eastAsiaTheme="minorEastAsia"/>
                <w:vertAlign w:val="baseline"/>
                <w:lang w:val="en-US" w:eastAsia="zh-CN"/>
              </w:rPr>
            </w:pPr>
            <w:r>
              <w:rPr>
                <w:rFonts w:hint="eastAsia"/>
                <w:vertAlign w:val="baseline"/>
                <w:lang w:val="en-US" w:eastAsia="zh-CN"/>
              </w:rPr>
              <w:t>34</w:t>
            </w:r>
          </w:p>
        </w:tc>
        <w:tc>
          <w:tcPr>
            <w:tcW w:w="1318" w:type="dxa"/>
            <w:vAlign w:val="center"/>
          </w:tcPr>
          <w:p w14:paraId="43619D59">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1510" w:type="dxa"/>
            <w:shd w:val="clear"/>
            <w:vAlign w:val="center"/>
          </w:tcPr>
          <w:p w14:paraId="4B81C289">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r>
      <w:tr w14:paraId="37A3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3406885F">
            <w:pPr>
              <w:jc w:val="left"/>
              <w:rPr>
                <w:rFonts w:hint="default" w:eastAsiaTheme="minorEastAsia"/>
                <w:b/>
                <w:bCs/>
                <w:vertAlign w:val="baseline"/>
                <w:lang w:val="en-US" w:eastAsia="zh-CN"/>
              </w:rPr>
            </w:pPr>
            <w:r>
              <w:rPr>
                <w:rFonts w:hint="eastAsia"/>
                <w:b/>
                <w:bCs/>
                <w:vertAlign w:val="baseline"/>
                <w:lang w:val="en-US" w:eastAsia="zh-CN"/>
              </w:rPr>
              <w:t>1-4</w:t>
            </w:r>
          </w:p>
        </w:tc>
        <w:tc>
          <w:tcPr>
            <w:tcW w:w="13436" w:type="dxa"/>
            <w:gridSpan w:val="4"/>
            <w:vAlign w:val="center"/>
          </w:tcPr>
          <w:p w14:paraId="358BFEEE">
            <w:pPr>
              <w:jc w:val="left"/>
              <w:rPr>
                <w:vertAlign w:val="baseline"/>
              </w:rPr>
            </w:pPr>
            <w:r>
              <w:rPr>
                <w:rFonts w:hint="eastAsia"/>
                <w:b/>
                <w:bCs/>
                <w:vertAlign w:val="baseline"/>
                <w:lang w:eastAsia="zh-CN"/>
              </w:rPr>
              <w:t>任现职以来，担任兼职班主任或辅导员或学生社团指导教师，并在其专项年度考核中评为优秀的，每次计1分，可累加计分，满分为5分。</w:t>
            </w:r>
          </w:p>
        </w:tc>
      </w:tr>
      <w:tr w14:paraId="24E8C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4DCD7CE4">
            <w:pPr>
              <w:jc w:val="left"/>
              <w:rPr>
                <w:rFonts w:hint="eastAsia"/>
                <w:b w:val="0"/>
                <w:bCs w:val="0"/>
                <w:vertAlign w:val="baseline"/>
                <w:lang w:val="en-US" w:eastAsia="zh-CN"/>
              </w:rPr>
            </w:pPr>
          </w:p>
        </w:tc>
        <w:tc>
          <w:tcPr>
            <w:tcW w:w="9097" w:type="dxa"/>
            <w:vAlign w:val="center"/>
          </w:tcPr>
          <w:p w14:paraId="2F4E3354">
            <w:pPr>
              <w:jc w:val="left"/>
              <w:rPr>
                <w:rFonts w:hint="default"/>
                <w:b w:val="0"/>
                <w:bCs w:val="0"/>
                <w:color w:val="FF0000"/>
                <w:vertAlign w:val="baseline"/>
                <w:lang w:val="en-US" w:eastAsia="zh-CN"/>
              </w:rPr>
            </w:pPr>
            <w:r>
              <w:rPr>
                <w:rFonts w:hint="eastAsia"/>
                <w:b w:val="0"/>
                <w:bCs w:val="0"/>
                <w:color w:val="auto"/>
                <w:vertAlign w:val="baseline"/>
                <w:lang w:val="en-US" w:eastAsia="zh-CN"/>
              </w:rPr>
              <w:t>1.2015年，班主任，优秀（支撑材料在教育教学的第15页）</w:t>
            </w:r>
          </w:p>
        </w:tc>
        <w:tc>
          <w:tcPr>
            <w:tcW w:w="1511" w:type="dxa"/>
            <w:vAlign w:val="center"/>
          </w:tcPr>
          <w:p w14:paraId="11A886DE">
            <w:pPr>
              <w:jc w:val="center"/>
              <w:rPr>
                <w:vertAlign w:val="baseline"/>
              </w:rPr>
            </w:pPr>
          </w:p>
        </w:tc>
        <w:tc>
          <w:tcPr>
            <w:tcW w:w="1318" w:type="dxa"/>
            <w:vAlign w:val="center"/>
          </w:tcPr>
          <w:p w14:paraId="4F368E51">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1510" w:type="dxa"/>
            <w:vAlign w:val="center"/>
          </w:tcPr>
          <w:p w14:paraId="5A5B8CA1">
            <w:pPr>
              <w:jc w:val="center"/>
              <w:rPr>
                <w:rFonts w:hint="eastAsia" w:eastAsiaTheme="minorEastAsia"/>
                <w:vertAlign w:val="baseline"/>
                <w:lang w:val="en-US" w:eastAsia="zh-CN"/>
              </w:rPr>
            </w:pPr>
            <w:r>
              <w:rPr>
                <w:rFonts w:hint="eastAsia"/>
                <w:vertAlign w:val="baseline"/>
                <w:lang w:val="en-US" w:eastAsia="zh-CN"/>
              </w:rPr>
              <w:t>1</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73FF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5073BD">
            <w:pPr>
              <w:jc w:val="center"/>
              <w:rPr>
                <w:rFonts w:hint="eastAsia"/>
                <w:b/>
                <w:bCs/>
                <w:vertAlign w:val="baseline"/>
                <w:lang w:val="en-US" w:eastAsia="zh-CN"/>
              </w:rPr>
            </w:pPr>
          </w:p>
        </w:tc>
        <w:tc>
          <w:tcPr>
            <w:tcW w:w="9097" w:type="dxa"/>
            <w:vAlign w:val="center"/>
          </w:tcPr>
          <w:p w14:paraId="7F1AFA52">
            <w:pPr>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量化加分项目（与公示表一致）</w:t>
            </w:r>
          </w:p>
        </w:tc>
        <w:tc>
          <w:tcPr>
            <w:tcW w:w="1511" w:type="dxa"/>
            <w:vAlign w:val="center"/>
          </w:tcPr>
          <w:p w14:paraId="5D6E6BCB">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对应页码</w:t>
            </w:r>
          </w:p>
        </w:tc>
        <w:tc>
          <w:tcPr>
            <w:tcW w:w="1318" w:type="dxa"/>
            <w:vAlign w:val="center"/>
          </w:tcPr>
          <w:p w14:paraId="79519C80">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自评分数</w:t>
            </w:r>
          </w:p>
        </w:tc>
        <w:tc>
          <w:tcPr>
            <w:tcW w:w="1510" w:type="dxa"/>
            <w:vAlign w:val="center"/>
          </w:tcPr>
          <w:p w14:paraId="373C9376">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复核情况</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9097" w:type="dxa"/>
            <w:vAlign w:val="center"/>
          </w:tcPr>
          <w:p w14:paraId="1C787FA2">
            <w:pPr>
              <w:rPr>
                <w:rFonts w:hint="default"/>
                <w:b w:val="0"/>
                <w:bCs w:val="0"/>
                <w:vertAlign w:val="baseline"/>
                <w:lang w:val="en-US" w:eastAsia="zh-CN"/>
              </w:rPr>
            </w:pPr>
            <w:r>
              <w:rPr>
                <w:rFonts w:hint="eastAsia"/>
                <w:b w:val="0"/>
                <w:bCs w:val="0"/>
                <w:vertAlign w:val="baseline"/>
                <w:lang w:val="en-US" w:eastAsia="zh-CN"/>
              </w:rPr>
              <w:t>1.2014年，</w:t>
            </w:r>
            <w:r>
              <w:rPr>
                <w:rFonts w:hint="eastAsia"/>
                <w:color w:val="000000"/>
                <w:vertAlign w:val="baseline"/>
                <w:lang w:val="en-US" w:eastAsia="zh-CN"/>
              </w:rPr>
              <w:t>获得博士学位（学历）证书</w:t>
            </w:r>
          </w:p>
        </w:tc>
        <w:tc>
          <w:tcPr>
            <w:tcW w:w="1511" w:type="dxa"/>
            <w:vAlign w:val="center"/>
          </w:tcPr>
          <w:p w14:paraId="6E187971">
            <w:pPr>
              <w:jc w:val="center"/>
              <w:rPr>
                <w:rFonts w:hint="default" w:eastAsiaTheme="minorEastAsia"/>
                <w:vertAlign w:val="baseline"/>
                <w:lang w:val="en-US" w:eastAsia="zh-CN"/>
              </w:rPr>
            </w:pPr>
            <w:r>
              <w:rPr>
                <w:rFonts w:hint="eastAsia"/>
                <w:vertAlign w:val="baseline"/>
                <w:lang w:val="en-US" w:eastAsia="zh-CN"/>
              </w:rPr>
              <w:t>1-2</w:t>
            </w:r>
          </w:p>
        </w:tc>
        <w:tc>
          <w:tcPr>
            <w:tcW w:w="1318" w:type="dxa"/>
            <w:vAlign w:val="center"/>
          </w:tcPr>
          <w:p w14:paraId="668E091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10</w:t>
            </w:r>
          </w:p>
        </w:tc>
        <w:tc>
          <w:tcPr>
            <w:tcW w:w="1510" w:type="dxa"/>
            <w:vAlign w:val="center"/>
          </w:tcPr>
          <w:p w14:paraId="0FFC395A">
            <w:pPr>
              <w:jc w:val="center"/>
              <w:rPr>
                <w:rFonts w:hint="default" w:eastAsiaTheme="minorEastAsia"/>
                <w:vertAlign w:val="baseline"/>
                <w:lang w:val="en-US" w:eastAsia="zh-CN"/>
              </w:rPr>
            </w:pPr>
            <w:r>
              <w:rPr>
                <w:rFonts w:hint="eastAsia"/>
                <w:vertAlign w:val="baseline"/>
                <w:lang w:val="en-US" w:eastAsia="zh-CN"/>
              </w:rPr>
              <w:t>10</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656E8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7415DD">
            <w:pPr>
              <w:jc w:val="center"/>
              <w:rPr>
                <w:rFonts w:hint="eastAsia"/>
                <w:b/>
                <w:bCs/>
                <w:vertAlign w:val="baseline"/>
                <w:lang w:val="en-US" w:eastAsia="zh-CN"/>
              </w:rPr>
            </w:pPr>
          </w:p>
        </w:tc>
        <w:tc>
          <w:tcPr>
            <w:tcW w:w="9097" w:type="dxa"/>
            <w:vAlign w:val="center"/>
          </w:tcPr>
          <w:p w14:paraId="320C95B1">
            <w:pPr>
              <w:rPr>
                <w:rFonts w:hint="default"/>
                <w:b w:val="0"/>
                <w:bCs w:val="0"/>
                <w:color w:val="FF0000"/>
                <w:vertAlign w:val="baseline"/>
                <w:lang w:val="en-US" w:eastAsia="zh-CN"/>
              </w:rPr>
            </w:pPr>
            <w:r>
              <w:rPr>
                <w:rFonts w:hint="eastAsia"/>
                <w:b w:val="0"/>
                <w:bCs w:val="0"/>
                <w:color w:val="auto"/>
                <w:vertAlign w:val="baseline"/>
                <w:lang w:val="en-US" w:eastAsia="zh-CN"/>
              </w:rPr>
              <w:t>参加全国职称外语水平考试，英语综合成绩78分，符合外语考试目录第1条；参加全国专业技术人员计算机应用能力考试，3个模块合格，符合计算机考试目录第1条</w:t>
            </w:r>
          </w:p>
        </w:tc>
        <w:tc>
          <w:tcPr>
            <w:tcW w:w="1511" w:type="dxa"/>
            <w:vAlign w:val="center"/>
          </w:tcPr>
          <w:p w14:paraId="6BDA1FB6">
            <w:pPr>
              <w:jc w:val="center"/>
              <w:rPr>
                <w:rFonts w:hint="default" w:eastAsiaTheme="minorEastAsia"/>
                <w:vertAlign w:val="baseline"/>
                <w:lang w:val="en-US" w:eastAsia="zh-CN"/>
              </w:rPr>
            </w:pPr>
            <w:r>
              <w:rPr>
                <w:rFonts w:hint="eastAsia"/>
                <w:vertAlign w:val="baseline"/>
                <w:lang w:val="en-US" w:eastAsia="zh-CN"/>
              </w:rPr>
              <w:t>18-19</w:t>
            </w:r>
          </w:p>
        </w:tc>
        <w:tc>
          <w:tcPr>
            <w:tcW w:w="1318" w:type="dxa"/>
            <w:vAlign w:val="center"/>
          </w:tcPr>
          <w:p w14:paraId="17636890">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1510" w:type="dxa"/>
            <w:vAlign w:val="center"/>
          </w:tcPr>
          <w:p w14:paraId="23FF7347">
            <w:pPr>
              <w:jc w:val="center"/>
              <w:rPr>
                <w:rFonts w:hint="eastAsia" w:eastAsiaTheme="minorEastAsia"/>
                <w:vertAlign w:val="baseline"/>
                <w:lang w:val="en-US" w:eastAsia="zh-CN"/>
              </w:rPr>
            </w:pPr>
            <w:r>
              <w:rPr>
                <w:rFonts w:hint="eastAsia"/>
                <w:vertAlign w:val="baseline"/>
                <w:lang w:val="en-US" w:eastAsia="zh-CN"/>
              </w:rPr>
              <w:t>6</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FF0000"/>
                <w:vertAlign w:val="baseline"/>
                <w:lang w:val="en-US" w:eastAsia="zh-CN"/>
              </w:rPr>
            </w:pPr>
          </w:p>
        </w:tc>
        <w:tc>
          <w:tcPr>
            <w:tcW w:w="9097" w:type="dxa"/>
            <w:vAlign w:val="center"/>
          </w:tcPr>
          <w:p w14:paraId="7909D805">
            <w:pPr>
              <w:rPr>
                <w:rFonts w:hint="default"/>
                <w:b w:val="0"/>
                <w:bCs w:val="0"/>
                <w:color w:val="FF0000"/>
                <w:vertAlign w:val="baseline"/>
                <w:lang w:val="en-US" w:eastAsia="zh-CN"/>
              </w:rPr>
            </w:pPr>
            <w:r>
              <w:rPr>
                <w:rFonts w:hint="eastAsia"/>
                <w:b w:val="0"/>
                <w:bCs w:val="0"/>
                <w:color w:val="auto"/>
                <w:vertAlign w:val="baseline"/>
                <w:lang w:val="en-US" w:eastAsia="zh-CN"/>
              </w:rPr>
              <w:t>2019年度-2023年度继续教育经湖南省人力资源社会保障部门验证合格</w:t>
            </w:r>
          </w:p>
        </w:tc>
        <w:tc>
          <w:tcPr>
            <w:tcW w:w="1511" w:type="dxa"/>
            <w:vAlign w:val="center"/>
          </w:tcPr>
          <w:p w14:paraId="537BB0F3">
            <w:pPr>
              <w:jc w:val="center"/>
              <w:rPr>
                <w:rFonts w:hint="default" w:eastAsiaTheme="minorEastAsia"/>
                <w:vertAlign w:val="baseline"/>
                <w:lang w:val="en-US" w:eastAsia="zh-CN"/>
              </w:rPr>
            </w:pPr>
            <w:r>
              <w:rPr>
                <w:rFonts w:hint="eastAsia"/>
                <w:vertAlign w:val="baseline"/>
                <w:lang w:val="en-US" w:eastAsia="zh-CN"/>
              </w:rPr>
              <w:t>20</w:t>
            </w:r>
          </w:p>
        </w:tc>
        <w:tc>
          <w:tcPr>
            <w:tcW w:w="1318" w:type="dxa"/>
            <w:vAlign w:val="center"/>
          </w:tcPr>
          <w:p w14:paraId="5A522BE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9</w:t>
            </w:r>
          </w:p>
        </w:tc>
        <w:tc>
          <w:tcPr>
            <w:tcW w:w="1510" w:type="dxa"/>
            <w:vAlign w:val="center"/>
          </w:tcPr>
          <w:p w14:paraId="03DA153B">
            <w:pPr>
              <w:jc w:val="center"/>
              <w:rPr>
                <w:rFonts w:hint="eastAsia" w:eastAsiaTheme="minorEastAsia"/>
                <w:vertAlign w:val="baseline"/>
                <w:lang w:val="en-US" w:eastAsia="zh-CN"/>
              </w:rPr>
            </w:pPr>
            <w:r>
              <w:rPr>
                <w:rFonts w:hint="eastAsia"/>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FF0000"/>
                <w:vertAlign w:val="baseline"/>
                <w:lang w:val="en-US" w:eastAsia="zh-CN"/>
              </w:rPr>
            </w:pPr>
          </w:p>
        </w:tc>
        <w:tc>
          <w:tcPr>
            <w:tcW w:w="9097" w:type="dxa"/>
            <w:vAlign w:val="center"/>
          </w:tcPr>
          <w:p w14:paraId="3773CBE9">
            <w:pPr>
              <w:rPr>
                <w:rFonts w:hint="default"/>
                <w:b w:val="0"/>
                <w:bCs w:val="0"/>
                <w:color w:val="auto"/>
                <w:vertAlign w:val="baseline"/>
                <w:lang w:val="en-US" w:eastAsia="zh-CN"/>
              </w:rPr>
            </w:pPr>
            <w:r>
              <w:rPr>
                <w:rFonts w:hint="eastAsia"/>
                <w:b w:val="0"/>
                <w:bCs w:val="0"/>
                <w:color w:val="auto"/>
                <w:vertAlign w:val="baseline"/>
                <w:lang w:val="en-US" w:eastAsia="zh-CN"/>
              </w:rPr>
              <w:t>2019年年度考核评为优秀</w:t>
            </w:r>
          </w:p>
        </w:tc>
        <w:tc>
          <w:tcPr>
            <w:tcW w:w="1511" w:type="dxa"/>
            <w:vAlign w:val="center"/>
          </w:tcPr>
          <w:p w14:paraId="27A06BA2">
            <w:pPr>
              <w:jc w:val="center"/>
              <w:rPr>
                <w:rFonts w:hint="default" w:eastAsiaTheme="minorEastAsia"/>
                <w:vertAlign w:val="baseline"/>
                <w:lang w:val="en-US" w:eastAsia="zh-CN"/>
              </w:rPr>
            </w:pPr>
            <w:r>
              <w:rPr>
                <w:rFonts w:hint="eastAsia"/>
                <w:vertAlign w:val="baseline"/>
                <w:lang w:val="en-US" w:eastAsia="zh-CN"/>
              </w:rPr>
              <w:t>21-22</w:t>
            </w:r>
          </w:p>
        </w:tc>
        <w:tc>
          <w:tcPr>
            <w:tcW w:w="1318" w:type="dxa"/>
            <w:vAlign w:val="center"/>
          </w:tcPr>
          <w:p w14:paraId="268CEB7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1510" w:type="dxa"/>
            <w:vAlign w:val="center"/>
          </w:tcPr>
          <w:p w14:paraId="36108D07">
            <w:pPr>
              <w:jc w:val="center"/>
              <w:rPr>
                <w:rFonts w:hint="eastAsia" w:eastAsiaTheme="minorEastAsia"/>
                <w:vertAlign w:val="baseline"/>
                <w:lang w:val="en-US" w:eastAsia="zh-CN"/>
              </w:rPr>
            </w:pPr>
            <w:r>
              <w:rPr>
                <w:rFonts w:hint="eastAsia"/>
                <w:vertAlign w:val="baseline"/>
                <w:lang w:val="en-US" w:eastAsia="zh-CN"/>
              </w:rPr>
              <w:t>1</w:t>
            </w:r>
          </w:p>
        </w:tc>
      </w:tr>
      <w:tr w14:paraId="2FC79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2D5A1E">
            <w:pPr>
              <w:rPr>
                <w:rFonts w:hint="eastAsia"/>
                <w:b w:val="0"/>
                <w:bCs w:val="0"/>
                <w:color w:val="FF0000"/>
                <w:vertAlign w:val="baseline"/>
                <w:lang w:val="en-US" w:eastAsia="zh-CN"/>
              </w:rPr>
            </w:pPr>
          </w:p>
        </w:tc>
        <w:tc>
          <w:tcPr>
            <w:tcW w:w="9097" w:type="dxa"/>
            <w:vAlign w:val="center"/>
          </w:tcPr>
          <w:p w14:paraId="695A5D56">
            <w:pPr>
              <w:rPr>
                <w:rFonts w:hint="eastAsia"/>
                <w:b w:val="0"/>
                <w:bCs w:val="0"/>
                <w:color w:val="auto"/>
                <w:vertAlign w:val="baseline"/>
                <w:lang w:val="en-US" w:eastAsia="zh-CN"/>
              </w:rPr>
            </w:pPr>
            <w:r>
              <w:rPr>
                <w:rFonts w:hint="eastAsia"/>
                <w:b w:val="0"/>
                <w:bCs w:val="0"/>
                <w:color w:val="auto"/>
                <w:vertAlign w:val="baseline"/>
                <w:lang w:val="en-US" w:eastAsia="zh-CN"/>
              </w:rPr>
              <w:t>2019年年度考核评为优秀</w:t>
            </w:r>
          </w:p>
        </w:tc>
        <w:tc>
          <w:tcPr>
            <w:tcW w:w="1511" w:type="dxa"/>
            <w:vAlign w:val="center"/>
          </w:tcPr>
          <w:p w14:paraId="776502AF">
            <w:pPr>
              <w:jc w:val="center"/>
              <w:rPr>
                <w:rFonts w:hint="default"/>
                <w:vertAlign w:val="baseline"/>
                <w:lang w:val="en-US" w:eastAsia="zh-CN"/>
              </w:rPr>
            </w:pPr>
            <w:r>
              <w:rPr>
                <w:rFonts w:hint="eastAsia"/>
                <w:vertAlign w:val="baseline"/>
                <w:lang w:val="en-US" w:eastAsia="zh-CN"/>
              </w:rPr>
              <w:t>23-24</w:t>
            </w:r>
          </w:p>
        </w:tc>
        <w:tc>
          <w:tcPr>
            <w:tcW w:w="1318" w:type="dxa"/>
            <w:vAlign w:val="center"/>
          </w:tcPr>
          <w:p w14:paraId="454F4FDF">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1510" w:type="dxa"/>
            <w:vAlign w:val="center"/>
          </w:tcPr>
          <w:p w14:paraId="687B25B6">
            <w:pPr>
              <w:jc w:val="center"/>
              <w:rPr>
                <w:rFonts w:hint="eastAsia" w:eastAsiaTheme="minorEastAsia"/>
                <w:vertAlign w:val="baseline"/>
                <w:lang w:val="en-US" w:eastAsia="zh-CN"/>
              </w:rPr>
            </w:pPr>
            <w:r>
              <w:rPr>
                <w:rFonts w:hint="eastAsia"/>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教育教学（教学型</w:t>
            </w:r>
            <w:r>
              <w:rPr>
                <w:rFonts w:hint="eastAsia"/>
                <w:b/>
                <w:bCs/>
                <w:vertAlign w:val="baseline"/>
                <w:lang w:val="en-US" w:eastAsia="zh-CN"/>
              </w:rPr>
              <w:t>120分，教学科研型70分，双师双能型80分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专职教师任现职以来，在完成当年度额定教学工作量的前提下，课堂教学时量年均每超过40学时计1分，满分为10分。</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vertAlign w:val="baseline"/>
                <w:lang w:val="en-US" w:eastAsia="zh-CN"/>
              </w:rPr>
            </w:pPr>
          </w:p>
        </w:tc>
        <w:tc>
          <w:tcPr>
            <w:tcW w:w="9097" w:type="dxa"/>
            <w:vAlign w:val="center"/>
          </w:tcPr>
          <w:p w14:paraId="43F63937">
            <w:pPr>
              <w:jc w:val="left"/>
              <w:rPr>
                <w:rFonts w:hint="default"/>
                <w:b/>
                <w:bCs/>
                <w:color w:val="auto"/>
                <w:vertAlign w:val="baseline"/>
                <w:lang w:val="en-US" w:eastAsia="zh-CN"/>
              </w:rPr>
            </w:pPr>
            <w:r>
              <w:rPr>
                <w:rFonts w:hint="eastAsia"/>
                <w:b w:val="0"/>
                <w:bCs w:val="0"/>
                <w:color w:val="auto"/>
                <w:vertAlign w:val="baseline"/>
                <w:lang w:val="en-US" w:eastAsia="zh-CN"/>
              </w:rPr>
              <w:t>2015年任现职，课堂教学年均162.2学时</w:t>
            </w:r>
          </w:p>
        </w:tc>
        <w:tc>
          <w:tcPr>
            <w:tcW w:w="1511" w:type="dxa"/>
            <w:vAlign w:val="center"/>
          </w:tcPr>
          <w:p w14:paraId="4D755CBE">
            <w:pPr>
              <w:jc w:val="left"/>
              <w:rPr>
                <w:rFonts w:hint="default"/>
                <w:b/>
                <w:bCs/>
                <w:color w:val="auto"/>
                <w:vertAlign w:val="baseline"/>
                <w:lang w:val="en-US" w:eastAsia="zh-CN"/>
              </w:rPr>
            </w:pPr>
            <w:r>
              <w:rPr>
                <w:rFonts w:hint="eastAsia"/>
                <w:b/>
                <w:bCs/>
                <w:color w:val="auto"/>
                <w:vertAlign w:val="baseline"/>
                <w:lang w:val="en-US" w:eastAsia="zh-CN"/>
              </w:rPr>
              <w:t>整套课表</w:t>
            </w:r>
          </w:p>
        </w:tc>
        <w:tc>
          <w:tcPr>
            <w:tcW w:w="1318" w:type="dxa"/>
            <w:vAlign w:val="center"/>
          </w:tcPr>
          <w:p w14:paraId="2A515421">
            <w:pPr>
              <w:jc w:val="center"/>
              <w:rPr>
                <w:rFonts w:hint="default"/>
                <w:b/>
                <w:bCs/>
                <w:color w:val="auto"/>
                <w:vertAlign w:val="baseline"/>
                <w:lang w:val="en-US" w:eastAsia="zh-CN"/>
              </w:rPr>
            </w:pPr>
            <w:r>
              <w:rPr>
                <w:rFonts w:hint="eastAsia"/>
                <w:b/>
                <w:bCs/>
                <w:color w:val="auto"/>
                <w:vertAlign w:val="baseline"/>
                <w:lang w:val="en-US" w:eastAsia="zh-CN"/>
              </w:rPr>
              <w:t>2</w:t>
            </w:r>
          </w:p>
        </w:tc>
        <w:tc>
          <w:tcPr>
            <w:tcW w:w="1510" w:type="dxa"/>
            <w:vAlign w:val="center"/>
          </w:tcPr>
          <w:p w14:paraId="6B0DF0ED">
            <w:pPr>
              <w:jc w:val="center"/>
              <w:rPr>
                <w:rFonts w:hint="default"/>
                <w:b/>
                <w:bCs/>
                <w:color w:val="auto"/>
                <w:vertAlign w:val="baseline"/>
                <w:lang w:val="en-US" w:eastAsia="zh-CN"/>
              </w:rPr>
            </w:pPr>
            <w:r>
              <w:rPr>
                <w:rFonts w:hint="eastAsia"/>
                <w:b/>
                <w:bCs/>
                <w:color w:val="auto"/>
                <w:vertAlign w:val="baseline"/>
                <w:lang w:val="en-US" w:eastAsia="zh-CN"/>
              </w:rPr>
              <w:t>1.82</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4D9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F3B97E9">
            <w:pPr>
              <w:jc w:val="left"/>
              <w:rPr>
                <w:rFonts w:hint="eastAsia"/>
                <w:b/>
                <w:bCs/>
                <w:vertAlign w:val="baseline"/>
                <w:lang w:val="en-US" w:eastAsia="zh-CN"/>
              </w:rPr>
            </w:pPr>
          </w:p>
        </w:tc>
        <w:tc>
          <w:tcPr>
            <w:tcW w:w="9097" w:type="dxa"/>
            <w:vAlign w:val="center"/>
          </w:tcPr>
          <w:p w14:paraId="40024BAB">
            <w:pPr>
              <w:jc w:val="left"/>
              <w:rPr>
                <w:rFonts w:hint="default"/>
                <w:b w:val="0"/>
                <w:bCs w:val="0"/>
                <w:color w:val="auto"/>
                <w:vertAlign w:val="baseline"/>
                <w:lang w:val="en-US" w:eastAsia="zh-CN"/>
              </w:rPr>
            </w:pPr>
            <w:r>
              <w:rPr>
                <w:rFonts w:hint="eastAsia"/>
                <w:b w:val="0"/>
                <w:bCs w:val="0"/>
                <w:color w:val="auto"/>
                <w:vertAlign w:val="baseline"/>
                <w:lang w:val="en-US" w:eastAsia="zh-CN"/>
              </w:rPr>
              <w:t>1.2016年3月至2018年年底，在湖南广播电视大学思政课部从事思政教学，满3年；</w:t>
            </w:r>
          </w:p>
        </w:tc>
        <w:tc>
          <w:tcPr>
            <w:tcW w:w="1511" w:type="dxa"/>
            <w:vAlign w:val="center"/>
          </w:tcPr>
          <w:p w14:paraId="651EC728">
            <w:pPr>
              <w:jc w:val="left"/>
              <w:rPr>
                <w:rFonts w:hint="default"/>
                <w:b/>
                <w:bCs/>
                <w:vertAlign w:val="baseline"/>
                <w:lang w:val="en-US" w:eastAsia="zh-CN"/>
              </w:rPr>
            </w:pPr>
            <w:r>
              <w:rPr>
                <w:rFonts w:hint="eastAsia"/>
                <w:b/>
                <w:bCs/>
                <w:vertAlign w:val="baseline"/>
                <w:lang w:val="en-US" w:eastAsia="zh-CN"/>
              </w:rPr>
              <w:t>整套课表</w:t>
            </w:r>
          </w:p>
        </w:tc>
        <w:tc>
          <w:tcPr>
            <w:tcW w:w="1318" w:type="dxa"/>
            <w:vAlign w:val="center"/>
          </w:tcPr>
          <w:p w14:paraId="3FC9B2DA">
            <w:pPr>
              <w:jc w:val="center"/>
              <w:rPr>
                <w:rFonts w:hint="default"/>
                <w:b/>
                <w:bCs/>
                <w:vertAlign w:val="baseline"/>
                <w:lang w:val="en-US" w:eastAsia="zh-CN"/>
              </w:rPr>
            </w:pPr>
            <w:r>
              <w:rPr>
                <w:rFonts w:hint="eastAsia"/>
                <w:b/>
                <w:bCs/>
                <w:vertAlign w:val="baseline"/>
                <w:lang w:val="en-US" w:eastAsia="zh-CN"/>
              </w:rPr>
              <w:t>1.5</w:t>
            </w:r>
          </w:p>
        </w:tc>
        <w:tc>
          <w:tcPr>
            <w:tcW w:w="1510" w:type="dxa"/>
            <w:vAlign w:val="center"/>
          </w:tcPr>
          <w:p w14:paraId="1F330CC5">
            <w:pPr>
              <w:jc w:val="center"/>
              <w:rPr>
                <w:rFonts w:hint="default"/>
                <w:b/>
                <w:bCs/>
                <w:vertAlign w:val="baseline"/>
                <w:lang w:val="en-US" w:eastAsia="zh-CN"/>
              </w:rPr>
            </w:pPr>
            <w:r>
              <w:rPr>
                <w:rFonts w:hint="eastAsia"/>
                <w:b/>
                <w:bCs/>
                <w:vertAlign w:val="baseline"/>
                <w:lang w:val="en-US" w:eastAsia="zh-CN"/>
              </w:rPr>
              <w:t>0</w:t>
            </w:r>
          </w:p>
        </w:tc>
      </w:tr>
      <w:tr w14:paraId="4444A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671A4A">
            <w:pPr>
              <w:jc w:val="left"/>
              <w:rPr>
                <w:rFonts w:hint="eastAsia"/>
                <w:b/>
                <w:bCs/>
                <w:vertAlign w:val="baseline"/>
                <w:lang w:val="en-US" w:eastAsia="zh-CN"/>
              </w:rPr>
            </w:pPr>
          </w:p>
        </w:tc>
        <w:tc>
          <w:tcPr>
            <w:tcW w:w="9097" w:type="dxa"/>
            <w:vAlign w:val="center"/>
          </w:tcPr>
          <w:p w14:paraId="10C453C8">
            <w:pPr>
              <w:jc w:val="left"/>
              <w:rPr>
                <w:rFonts w:hint="default"/>
                <w:b w:val="0"/>
                <w:bCs w:val="0"/>
                <w:color w:val="auto"/>
                <w:vertAlign w:val="baseline"/>
                <w:lang w:val="en-US" w:eastAsia="zh-CN"/>
              </w:rPr>
            </w:pPr>
            <w:r>
              <w:rPr>
                <w:rFonts w:hint="eastAsia"/>
                <w:b w:val="0"/>
                <w:bCs w:val="0"/>
                <w:color w:val="auto"/>
                <w:vertAlign w:val="baseline"/>
                <w:lang w:val="en-US" w:eastAsia="zh-CN"/>
              </w:rPr>
              <w:t>2.2019年3月至2023年年底，在湖南开放大学从事老年教育教学工作，满5年。</w:t>
            </w:r>
          </w:p>
        </w:tc>
        <w:tc>
          <w:tcPr>
            <w:tcW w:w="1511" w:type="dxa"/>
            <w:vAlign w:val="center"/>
          </w:tcPr>
          <w:p w14:paraId="58396EB3">
            <w:pPr>
              <w:jc w:val="left"/>
              <w:rPr>
                <w:rFonts w:hint="default"/>
                <w:b/>
                <w:bCs/>
                <w:vertAlign w:val="baseline"/>
                <w:lang w:val="en-US" w:eastAsia="zh-CN"/>
              </w:rPr>
            </w:pPr>
            <w:r>
              <w:rPr>
                <w:rFonts w:hint="eastAsia"/>
                <w:b/>
                <w:bCs/>
                <w:vertAlign w:val="baseline"/>
                <w:lang w:val="en-US" w:eastAsia="zh-CN"/>
              </w:rPr>
              <w:t>整套课表</w:t>
            </w:r>
          </w:p>
        </w:tc>
        <w:tc>
          <w:tcPr>
            <w:tcW w:w="1318" w:type="dxa"/>
            <w:vAlign w:val="center"/>
          </w:tcPr>
          <w:p w14:paraId="168589D3">
            <w:pPr>
              <w:jc w:val="center"/>
              <w:rPr>
                <w:rFonts w:hint="default"/>
                <w:b/>
                <w:bCs/>
                <w:vertAlign w:val="baseline"/>
                <w:lang w:val="en-US" w:eastAsia="zh-CN"/>
              </w:rPr>
            </w:pPr>
            <w:r>
              <w:rPr>
                <w:rFonts w:hint="eastAsia"/>
                <w:b/>
                <w:bCs/>
                <w:vertAlign w:val="baseline"/>
                <w:lang w:val="en-US" w:eastAsia="zh-CN"/>
              </w:rPr>
              <w:t>2.5</w:t>
            </w:r>
          </w:p>
        </w:tc>
        <w:tc>
          <w:tcPr>
            <w:tcW w:w="1510" w:type="dxa"/>
            <w:vAlign w:val="center"/>
          </w:tcPr>
          <w:p w14:paraId="6FEAA348">
            <w:pPr>
              <w:jc w:val="center"/>
              <w:rPr>
                <w:rFonts w:hint="default"/>
                <w:b/>
                <w:bCs/>
                <w:vertAlign w:val="baseline"/>
                <w:lang w:val="en-US" w:eastAsia="zh-CN"/>
              </w:rPr>
            </w:pPr>
            <w:r>
              <w:rPr>
                <w:rFonts w:hint="eastAsia"/>
                <w:b/>
                <w:bCs/>
                <w:vertAlign w:val="baseline"/>
                <w:lang w:val="en-US" w:eastAsia="zh-CN"/>
              </w:rPr>
              <w:t>0</w:t>
            </w:r>
          </w:p>
        </w:tc>
      </w:tr>
      <w:tr w14:paraId="5AE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60F1A4">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335EAD66">
            <w:pPr>
              <w:jc w:val="left"/>
              <w:rPr>
                <w:rFonts w:hint="eastAsia"/>
                <w:b/>
                <w:bCs/>
                <w:vertAlign w:val="baseline"/>
                <w:lang w:val="en-US" w:eastAsia="zh-CN"/>
              </w:rPr>
            </w:pPr>
            <w:r>
              <w:rPr>
                <w:rFonts w:hint="eastAsia"/>
                <w:b/>
                <w:bCs/>
                <w:vertAlign w:val="baseline"/>
                <w:lang w:val="en-US" w:eastAsia="zh-CN"/>
              </w:rPr>
              <w:t>学校质量监控与评价中心根据参评人员任职期间课堂评教、常规教学状态数据、同行专家评价等数据得出参评人员教学质量评价得分，满分为5分。</w:t>
            </w:r>
          </w:p>
        </w:tc>
      </w:tr>
      <w:tr w14:paraId="24E9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41F391">
            <w:pPr>
              <w:jc w:val="left"/>
              <w:rPr>
                <w:rFonts w:hint="eastAsia"/>
                <w:b/>
                <w:bCs/>
                <w:vertAlign w:val="baseline"/>
                <w:lang w:val="en-US" w:eastAsia="zh-CN"/>
              </w:rPr>
            </w:pPr>
          </w:p>
        </w:tc>
        <w:tc>
          <w:tcPr>
            <w:tcW w:w="9097" w:type="dxa"/>
            <w:vAlign w:val="center"/>
          </w:tcPr>
          <w:p w14:paraId="1434397E">
            <w:pPr>
              <w:jc w:val="left"/>
              <w:rPr>
                <w:rFonts w:hint="default"/>
                <w:b w:val="0"/>
                <w:bCs w:val="0"/>
                <w:color w:val="auto"/>
                <w:vertAlign w:val="baseline"/>
                <w:lang w:val="en-US" w:eastAsia="zh-CN"/>
              </w:rPr>
            </w:pPr>
            <w:r>
              <w:rPr>
                <w:rFonts w:hint="eastAsia"/>
                <w:b w:val="0"/>
                <w:bCs w:val="0"/>
                <w:color w:val="auto"/>
                <w:vertAlign w:val="baseline"/>
                <w:lang w:val="en-US" w:eastAsia="zh-CN"/>
              </w:rPr>
              <w:t>根据职能部门出具的教学质量评价得分自评分数</w:t>
            </w:r>
          </w:p>
        </w:tc>
        <w:tc>
          <w:tcPr>
            <w:tcW w:w="1511" w:type="dxa"/>
            <w:vAlign w:val="center"/>
          </w:tcPr>
          <w:p w14:paraId="392BF087">
            <w:pPr>
              <w:jc w:val="left"/>
              <w:rPr>
                <w:rFonts w:hint="default"/>
                <w:b w:val="0"/>
                <w:bCs w:val="0"/>
                <w:color w:val="auto"/>
                <w:vertAlign w:val="baseline"/>
                <w:lang w:val="en-US" w:eastAsia="zh-CN"/>
              </w:rPr>
            </w:pPr>
            <w:r>
              <w:rPr>
                <w:rFonts w:hint="eastAsia"/>
                <w:b w:val="0"/>
                <w:bCs w:val="0"/>
                <w:color w:val="auto"/>
                <w:vertAlign w:val="baseline"/>
                <w:lang w:val="en-US" w:eastAsia="zh-CN"/>
              </w:rPr>
              <w:t>8-10,13-14</w:t>
            </w:r>
          </w:p>
        </w:tc>
        <w:tc>
          <w:tcPr>
            <w:tcW w:w="1318" w:type="dxa"/>
            <w:vAlign w:val="center"/>
          </w:tcPr>
          <w:p w14:paraId="6A5D8707">
            <w:pPr>
              <w:jc w:val="center"/>
              <w:rPr>
                <w:rFonts w:hint="default"/>
                <w:b w:val="0"/>
                <w:bCs w:val="0"/>
                <w:color w:val="auto"/>
                <w:vertAlign w:val="baseline"/>
                <w:lang w:val="en-US" w:eastAsia="zh-CN"/>
              </w:rPr>
            </w:pPr>
            <w:r>
              <w:rPr>
                <w:rFonts w:hint="eastAsia"/>
                <w:b w:val="0"/>
                <w:bCs w:val="0"/>
                <w:color w:val="auto"/>
                <w:vertAlign w:val="baseline"/>
                <w:lang w:val="en-US" w:eastAsia="zh-CN"/>
              </w:rPr>
              <w:t>5</w:t>
            </w:r>
          </w:p>
        </w:tc>
        <w:tc>
          <w:tcPr>
            <w:tcW w:w="1510" w:type="dxa"/>
            <w:vAlign w:val="center"/>
          </w:tcPr>
          <w:p w14:paraId="64FBAB5B">
            <w:pPr>
              <w:jc w:val="center"/>
              <w:rPr>
                <w:rFonts w:hint="default"/>
                <w:b w:val="0"/>
                <w:bCs w:val="0"/>
                <w:color w:val="auto"/>
                <w:vertAlign w:val="baseline"/>
                <w:lang w:val="en-US" w:eastAsia="zh-CN"/>
              </w:rPr>
            </w:pPr>
            <w:r>
              <w:rPr>
                <w:rFonts w:hint="eastAsia"/>
                <w:b w:val="0"/>
                <w:bCs w:val="0"/>
                <w:color w:val="auto"/>
                <w:vertAlign w:val="baseline"/>
                <w:lang w:val="en-US" w:eastAsia="zh-CN"/>
              </w:rPr>
              <w:t>5</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02FBF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43C75EA">
            <w:pPr>
              <w:jc w:val="left"/>
              <w:rPr>
                <w:rFonts w:hint="eastAsia"/>
                <w:b/>
                <w:bCs/>
                <w:vertAlign w:val="baseline"/>
                <w:lang w:val="en-US" w:eastAsia="zh-CN"/>
              </w:rPr>
            </w:pPr>
          </w:p>
        </w:tc>
        <w:tc>
          <w:tcPr>
            <w:tcW w:w="9097" w:type="dxa"/>
            <w:vAlign w:val="center"/>
          </w:tcPr>
          <w:p w14:paraId="75957DE5">
            <w:pPr>
              <w:numPr>
                <w:ilvl w:val="0"/>
                <w:numId w:val="0"/>
              </w:numPr>
              <w:ind w:left="0" w:leftChars="0" w:firstLine="0" w:firstLineChars="0"/>
              <w:jc w:val="left"/>
              <w:rPr>
                <w:rFonts w:hint="eastAsia"/>
                <w:color w:val="FF0000"/>
                <w:lang w:val="en-US" w:eastAsia="zh-CN"/>
              </w:rPr>
            </w:pPr>
            <w:r>
              <w:rPr>
                <w:rFonts w:hint="eastAsia"/>
                <w:color w:val="000000"/>
                <w:vertAlign w:val="baseline"/>
                <w:lang w:val="en-US" w:eastAsia="zh-CN"/>
              </w:rPr>
              <w:t>1.湖南省老年教育资教学源库，</w:t>
            </w:r>
            <w:r>
              <w:rPr>
                <w:rFonts w:hint="eastAsia" w:ascii="宋体" w:hAnsi="宋体"/>
                <w:color w:val="000000"/>
                <w:sz w:val="21"/>
                <w:szCs w:val="21"/>
                <w:lang w:val="en-US" w:eastAsia="zh-CN"/>
              </w:rPr>
              <w:t>2021年</w:t>
            </w:r>
            <w:r>
              <w:rPr>
                <w:rFonts w:hint="eastAsia"/>
                <w:color w:val="000000"/>
                <w:vertAlign w:val="baseline"/>
                <w:lang w:val="en-US" w:eastAsia="zh-CN"/>
              </w:rPr>
              <w:t>湖南省教育厅，</w:t>
            </w:r>
            <w:r>
              <w:rPr>
                <w:rFonts w:hint="eastAsia" w:ascii="宋体" w:hAnsi="宋体"/>
                <w:color w:val="000000"/>
                <w:sz w:val="21"/>
                <w:szCs w:val="21"/>
                <w:lang w:val="en-US" w:eastAsia="zh-CN"/>
              </w:rPr>
              <w:t>湖南省职业教育专业教学资源库建设项目，关于公布2021年湖南省职业教育省级精品课程与专业教学资源库项目评审结果的通知，主持，在建；</w:t>
            </w:r>
          </w:p>
        </w:tc>
        <w:tc>
          <w:tcPr>
            <w:tcW w:w="1511" w:type="dxa"/>
            <w:vAlign w:val="center"/>
          </w:tcPr>
          <w:p w14:paraId="2B980DDB">
            <w:pPr>
              <w:jc w:val="center"/>
              <w:rPr>
                <w:rFonts w:hint="eastAsia"/>
                <w:b/>
                <w:bCs/>
                <w:vertAlign w:val="baseline"/>
                <w:lang w:val="en-US" w:eastAsia="zh-CN"/>
              </w:rPr>
            </w:pPr>
            <w:r>
              <w:rPr>
                <w:rFonts w:hint="eastAsia"/>
                <w:color w:val="000000"/>
                <w:vertAlign w:val="baseline"/>
                <w:lang w:val="en-US" w:eastAsia="zh-CN"/>
              </w:rPr>
              <w:t>23-35</w:t>
            </w:r>
          </w:p>
        </w:tc>
        <w:tc>
          <w:tcPr>
            <w:tcW w:w="1318" w:type="dxa"/>
            <w:vAlign w:val="center"/>
          </w:tcPr>
          <w:p w14:paraId="60825047">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6</w:t>
            </w:r>
          </w:p>
        </w:tc>
        <w:tc>
          <w:tcPr>
            <w:tcW w:w="1510" w:type="dxa"/>
            <w:vAlign w:val="center"/>
          </w:tcPr>
          <w:p w14:paraId="22322919">
            <w:pPr>
              <w:jc w:val="center"/>
              <w:rPr>
                <w:rFonts w:hint="default"/>
                <w:b/>
                <w:bCs/>
                <w:vertAlign w:val="baseline"/>
                <w:lang w:val="en-US" w:eastAsia="zh-CN"/>
              </w:rPr>
            </w:pPr>
            <w:r>
              <w:rPr>
                <w:rFonts w:hint="eastAsia"/>
                <w:b/>
                <w:bCs/>
                <w:vertAlign w:val="baseline"/>
                <w:lang w:val="en-US" w:eastAsia="zh-CN"/>
              </w:rPr>
              <w:t>6</w:t>
            </w:r>
          </w:p>
        </w:tc>
      </w:tr>
      <w:tr w14:paraId="08F83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738" w:type="dxa"/>
            <w:vAlign w:val="center"/>
          </w:tcPr>
          <w:p w14:paraId="69FB4969">
            <w:pPr>
              <w:jc w:val="left"/>
              <w:rPr>
                <w:rFonts w:hint="eastAsia"/>
                <w:b/>
                <w:bCs/>
                <w:vertAlign w:val="baseline"/>
                <w:lang w:val="en-US" w:eastAsia="zh-CN"/>
              </w:rPr>
            </w:pPr>
          </w:p>
        </w:tc>
        <w:tc>
          <w:tcPr>
            <w:tcW w:w="9097" w:type="dxa"/>
            <w:vAlign w:val="center"/>
          </w:tcPr>
          <w:p w14:paraId="3F57C0A9">
            <w:pPr>
              <w:numPr>
                <w:ilvl w:val="0"/>
                <w:numId w:val="0"/>
              </w:numPr>
              <w:ind w:left="0" w:leftChars="0" w:firstLine="0" w:firstLineChars="0"/>
              <w:jc w:val="left"/>
              <w:rPr>
                <w:rFonts w:hint="eastAsia"/>
                <w:color w:val="FF0000"/>
                <w:lang w:val="en-US" w:eastAsia="zh-CN"/>
              </w:rPr>
            </w:pPr>
            <w:r>
              <w:rPr>
                <w:rFonts w:hint="eastAsia" w:ascii="宋体" w:hAnsi="宋体"/>
                <w:color w:val="000000"/>
                <w:sz w:val="21"/>
                <w:szCs w:val="21"/>
                <w:lang w:val="en-US" w:eastAsia="zh-CN"/>
              </w:rPr>
              <w:t>2.</w:t>
            </w:r>
            <w:r>
              <w:rPr>
                <w:rFonts w:hint="default" w:ascii="宋体" w:hAnsi="宋体"/>
                <w:color w:val="000000"/>
                <w:sz w:val="21"/>
                <w:szCs w:val="21"/>
                <w:lang w:val="en-US" w:eastAsia="zh-CN"/>
              </w:rPr>
              <w:t>老年人智能手机应用</w:t>
            </w:r>
            <w:r>
              <w:rPr>
                <w:rFonts w:hint="eastAsia" w:ascii="宋体" w:hAnsi="宋体"/>
                <w:color w:val="000000"/>
                <w:sz w:val="21"/>
                <w:szCs w:val="21"/>
                <w:lang w:val="en-US" w:eastAsia="zh-CN"/>
              </w:rPr>
              <w:t>，2021年湖南省教育厅，</w:t>
            </w:r>
            <w:r>
              <w:rPr>
                <w:rFonts w:hint="default" w:ascii="宋体" w:hAnsi="宋体"/>
                <w:color w:val="000000"/>
                <w:sz w:val="21"/>
                <w:szCs w:val="21"/>
                <w:lang w:val="en-US" w:eastAsia="zh-CN"/>
              </w:rPr>
              <w:t>湖南省职业教育省级精品课程项目，</w:t>
            </w:r>
            <w:r>
              <w:rPr>
                <w:rFonts w:hint="eastAsia" w:ascii="宋体" w:hAnsi="宋体"/>
                <w:color w:val="000000"/>
                <w:sz w:val="21"/>
                <w:szCs w:val="21"/>
                <w:lang w:val="en-US" w:eastAsia="zh-CN"/>
              </w:rPr>
              <w:t>关于公布2021年湖南省职业教育省级精品课程与专业教学资源库项目评审结果的通知</w:t>
            </w:r>
            <w:r>
              <w:rPr>
                <w:rFonts w:hint="default" w:ascii="宋体" w:hAnsi="宋体"/>
                <w:color w:val="000000"/>
                <w:sz w:val="21"/>
                <w:szCs w:val="21"/>
                <w:lang w:val="en-US" w:eastAsia="zh-CN"/>
              </w:rPr>
              <w:t>，主持</w:t>
            </w:r>
            <w:r>
              <w:rPr>
                <w:rFonts w:hint="eastAsia" w:ascii="宋体" w:hAnsi="宋体"/>
                <w:color w:val="000000"/>
                <w:sz w:val="21"/>
                <w:szCs w:val="21"/>
                <w:lang w:val="en-US" w:eastAsia="zh-CN"/>
              </w:rPr>
              <w:t>，在建；</w:t>
            </w:r>
          </w:p>
        </w:tc>
        <w:tc>
          <w:tcPr>
            <w:tcW w:w="1511" w:type="dxa"/>
            <w:vAlign w:val="center"/>
          </w:tcPr>
          <w:p w14:paraId="2421B67B">
            <w:pPr>
              <w:jc w:val="center"/>
              <w:rPr>
                <w:rFonts w:hint="eastAsia"/>
                <w:b/>
                <w:bCs/>
                <w:vertAlign w:val="baseline"/>
                <w:lang w:val="en-US" w:eastAsia="zh-CN"/>
              </w:rPr>
            </w:pPr>
            <w:r>
              <w:rPr>
                <w:rFonts w:hint="eastAsia"/>
                <w:color w:val="000000"/>
                <w:vertAlign w:val="baseline"/>
                <w:lang w:val="en-US" w:eastAsia="zh-CN"/>
              </w:rPr>
              <w:t>36-41</w:t>
            </w:r>
          </w:p>
        </w:tc>
        <w:tc>
          <w:tcPr>
            <w:tcW w:w="1318" w:type="dxa"/>
            <w:vAlign w:val="center"/>
          </w:tcPr>
          <w:p w14:paraId="44CA2B04">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6</w:t>
            </w:r>
          </w:p>
        </w:tc>
        <w:tc>
          <w:tcPr>
            <w:tcW w:w="1510" w:type="dxa"/>
            <w:vAlign w:val="center"/>
          </w:tcPr>
          <w:p w14:paraId="06264141">
            <w:pPr>
              <w:jc w:val="center"/>
              <w:rPr>
                <w:rFonts w:hint="default"/>
                <w:b/>
                <w:bCs/>
                <w:vertAlign w:val="baseline"/>
                <w:lang w:val="en-US" w:eastAsia="zh-CN"/>
              </w:rPr>
            </w:pPr>
            <w:r>
              <w:rPr>
                <w:rFonts w:hint="eastAsia"/>
                <w:b/>
                <w:bCs/>
                <w:vertAlign w:val="baseline"/>
                <w:lang w:val="en-US" w:eastAsia="zh-CN"/>
              </w:rPr>
              <w:t>6</w:t>
            </w:r>
          </w:p>
        </w:tc>
      </w:tr>
      <w:tr w14:paraId="1E3C0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E515925">
            <w:pPr>
              <w:jc w:val="left"/>
              <w:rPr>
                <w:rFonts w:hint="eastAsia"/>
                <w:b/>
                <w:bCs/>
                <w:vertAlign w:val="baseline"/>
                <w:lang w:val="en-US" w:eastAsia="zh-CN"/>
              </w:rPr>
            </w:pPr>
          </w:p>
        </w:tc>
        <w:tc>
          <w:tcPr>
            <w:tcW w:w="9097" w:type="dxa"/>
            <w:vAlign w:val="center"/>
          </w:tcPr>
          <w:p w14:paraId="505A3D14">
            <w:pPr>
              <w:adjustRightInd w:val="0"/>
              <w:snapToGrid w:val="0"/>
              <w:jc w:val="left"/>
              <w:rPr>
                <w:rFonts w:hint="eastAsia"/>
                <w:color w:val="FF0000"/>
                <w:lang w:val="en-US" w:eastAsia="zh-CN"/>
              </w:rPr>
            </w:pPr>
            <w:r>
              <w:rPr>
                <w:rFonts w:hint="eastAsia" w:ascii="宋体" w:hAnsi="宋体"/>
                <w:sz w:val="21"/>
                <w:szCs w:val="21"/>
                <w:lang w:val="en-US" w:eastAsia="zh-CN"/>
              </w:rPr>
              <w:t>3.“互联网+老年教育”服务模式研究与实践，2019年湖南省教育厅，湖南省职业教育教学改革一般项目，</w:t>
            </w:r>
            <w:r>
              <w:rPr>
                <w:rFonts w:hint="eastAsia" w:ascii="宋体" w:hAnsi="宋体"/>
                <w:b w:val="0"/>
                <w:bCs w:val="0"/>
                <w:sz w:val="21"/>
                <w:szCs w:val="21"/>
                <w:lang w:val="en-US" w:eastAsia="zh-CN"/>
              </w:rPr>
              <w:t>关于公布2019年度湖南省职业院校教育教学改革研究项目立项名单的通知，主持，已完成</w:t>
            </w:r>
          </w:p>
        </w:tc>
        <w:tc>
          <w:tcPr>
            <w:tcW w:w="1511" w:type="dxa"/>
            <w:vAlign w:val="center"/>
          </w:tcPr>
          <w:p w14:paraId="62F0FED3">
            <w:pPr>
              <w:jc w:val="center"/>
              <w:rPr>
                <w:rFonts w:hint="eastAsia"/>
                <w:b/>
                <w:bCs/>
                <w:vertAlign w:val="baseline"/>
                <w:lang w:val="en-US" w:eastAsia="zh-CN"/>
              </w:rPr>
            </w:pPr>
            <w:r>
              <w:rPr>
                <w:rFonts w:hint="eastAsia"/>
                <w:color w:val="000000"/>
                <w:vertAlign w:val="baseline"/>
                <w:lang w:val="en-US" w:eastAsia="zh-CN"/>
              </w:rPr>
              <w:t>42-47</w:t>
            </w:r>
          </w:p>
        </w:tc>
        <w:tc>
          <w:tcPr>
            <w:tcW w:w="1318" w:type="dxa"/>
            <w:vAlign w:val="center"/>
          </w:tcPr>
          <w:p w14:paraId="4A47A5E8">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10</w:t>
            </w:r>
          </w:p>
        </w:tc>
        <w:tc>
          <w:tcPr>
            <w:tcW w:w="1510" w:type="dxa"/>
            <w:vAlign w:val="center"/>
          </w:tcPr>
          <w:p w14:paraId="712AC914">
            <w:pPr>
              <w:jc w:val="center"/>
              <w:rPr>
                <w:rFonts w:hint="default"/>
                <w:b/>
                <w:bCs/>
                <w:vertAlign w:val="baseline"/>
                <w:lang w:val="en-US" w:eastAsia="zh-CN"/>
              </w:rPr>
            </w:pPr>
            <w:r>
              <w:rPr>
                <w:rFonts w:hint="eastAsia"/>
                <w:b/>
                <w:bCs/>
                <w:vertAlign w:val="baseline"/>
                <w:lang w:val="en-US" w:eastAsia="zh-CN"/>
              </w:rPr>
              <w:t>0</w:t>
            </w:r>
          </w:p>
        </w:tc>
      </w:tr>
      <w:tr w14:paraId="4A7F5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F3A017">
            <w:pPr>
              <w:jc w:val="left"/>
              <w:rPr>
                <w:rFonts w:hint="eastAsia"/>
                <w:b/>
                <w:bCs/>
                <w:vertAlign w:val="baseline"/>
                <w:lang w:val="en-US" w:eastAsia="zh-CN"/>
              </w:rPr>
            </w:pPr>
          </w:p>
        </w:tc>
        <w:tc>
          <w:tcPr>
            <w:tcW w:w="9097" w:type="dxa"/>
            <w:vAlign w:val="center"/>
          </w:tcPr>
          <w:p w14:paraId="0C16F107">
            <w:pPr>
              <w:adjustRightInd w:val="0"/>
              <w:snapToGrid w:val="0"/>
              <w:jc w:val="left"/>
              <w:rPr>
                <w:rFonts w:hint="eastAsia"/>
                <w:color w:val="FF0000"/>
                <w:lang w:val="en-US" w:eastAsia="zh-CN"/>
              </w:rPr>
            </w:pPr>
            <w:r>
              <w:rPr>
                <w:rFonts w:hint="eastAsia" w:ascii="宋体" w:hAnsi="宋体"/>
                <w:sz w:val="21"/>
                <w:szCs w:val="21"/>
                <w:lang w:val="en-US" w:eastAsia="zh-CN"/>
              </w:rPr>
              <w:t>4.老年教育资源建设与应用研究，2020年湖南省教育厅，湖南省职业教育教学改革重点项目，</w:t>
            </w:r>
            <w:r>
              <w:rPr>
                <w:rFonts w:hint="eastAsia" w:ascii="宋体" w:hAnsi="宋体"/>
                <w:b w:val="0"/>
                <w:bCs w:val="0"/>
                <w:sz w:val="21"/>
                <w:szCs w:val="21"/>
                <w:lang w:val="en-US" w:eastAsia="zh-CN"/>
              </w:rPr>
              <w:t>关于公布2020年湖南省职业院校线上教学优秀案例及教学资源建设与教学改革研究项目评审结果的通知，主持，已完成</w:t>
            </w:r>
          </w:p>
        </w:tc>
        <w:tc>
          <w:tcPr>
            <w:tcW w:w="1511" w:type="dxa"/>
            <w:vAlign w:val="center"/>
          </w:tcPr>
          <w:p w14:paraId="00FE1206">
            <w:pPr>
              <w:jc w:val="center"/>
              <w:rPr>
                <w:rFonts w:hint="eastAsia"/>
                <w:b/>
                <w:bCs/>
                <w:vertAlign w:val="baseline"/>
                <w:lang w:val="en-US" w:eastAsia="zh-CN"/>
              </w:rPr>
            </w:pPr>
            <w:r>
              <w:rPr>
                <w:rFonts w:hint="eastAsia"/>
                <w:color w:val="000000"/>
                <w:vertAlign w:val="baseline"/>
                <w:lang w:val="en-US" w:eastAsia="zh-CN"/>
              </w:rPr>
              <w:t>48-57</w:t>
            </w:r>
          </w:p>
        </w:tc>
        <w:tc>
          <w:tcPr>
            <w:tcW w:w="1318" w:type="dxa"/>
            <w:vAlign w:val="center"/>
          </w:tcPr>
          <w:p w14:paraId="52F8B573">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15</w:t>
            </w:r>
          </w:p>
        </w:tc>
        <w:tc>
          <w:tcPr>
            <w:tcW w:w="1510" w:type="dxa"/>
            <w:vAlign w:val="center"/>
          </w:tcPr>
          <w:p w14:paraId="6D45035C">
            <w:pPr>
              <w:jc w:val="center"/>
              <w:rPr>
                <w:rFonts w:hint="default"/>
                <w:b/>
                <w:bCs/>
                <w:vertAlign w:val="baseline"/>
                <w:lang w:val="en-US" w:eastAsia="zh-CN"/>
              </w:rPr>
            </w:pPr>
            <w:r>
              <w:rPr>
                <w:rFonts w:hint="eastAsia"/>
                <w:b/>
                <w:bCs/>
                <w:vertAlign w:val="baseline"/>
                <w:lang w:val="en-US" w:eastAsia="zh-CN"/>
              </w:rPr>
              <w:t>0</w:t>
            </w:r>
          </w:p>
        </w:tc>
      </w:tr>
      <w:tr w14:paraId="179B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AC43D8F">
            <w:pPr>
              <w:jc w:val="left"/>
              <w:rPr>
                <w:rFonts w:hint="eastAsia"/>
                <w:b/>
                <w:bCs/>
                <w:vertAlign w:val="baseline"/>
                <w:lang w:val="en-US" w:eastAsia="zh-CN"/>
              </w:rPr>
            </w:pPr>
          </w:p>
        </w:tc>
        <w:tc>
          <w:tcPr>
            <w:tcW w:w="9097" w:type="dxa"/>
            <w:vAlign w:val="center"/>
          </w:tcPr>
          <w:p w14:paraId="2E00423F">
            <w:pPr>
              <w:numPr>
                <w:ilvl w:val="0"/>
                <w:numId w:val="0"/>
              </w:numPr>
              <w:ind w:left="0" w:leftChars="0" w:firstLine="0" w:firstLineChars="0"/>
              <w:jc w:val="left"/>
              <w:rPr>
                <w:rFonts w:hint="eastAsia"/>
                <w:color w:val="FF0000"/>
                <w:lang w:val="en-US" w:eastAsia="zh-CN"/>
              </w:rPr>
            </w:pPr>
            <w:r>
              <w:rPr>
                <w:rFonts w:hint="eastAsia" w:ascii="宋体" w:hAnsi="宋体"/>
                <w:color w:val="000000"/>
                <w:sz w:val="21"/>
                <w:szCs w:val="21"/>
                <w:lang w:val="en-US" w:eastAsia="zh-CN"/>
              </w:rPr>
              <w:t>5.新时代数字生活手册—微信篇，2021年国家开放大学，国家开放大学智慧助老课程资源建设项目，关于“智慧助老”系列课程资源建设及认证工作立项的通知</w:t>
            </w:r>
            <w:r>
              <w:rPr>
                <w:rFonts w:hint="eastAsia" w:ascii="宋体" w:hAnsi="宋体"/>
                <w:b w:val="0"/>
                <w:bCs w:val="0"/>
                <w:color w:val="000000"/>
                <w:sz w:val="21"/>
                <w:szCs w:val="21"/>
                <w:lang w:val="en-US" w:eastAsia="zh-CN"/>
              </w:rPr>
              <w:t>，主持，已完成；</w:t>
            </w:r>
          </w:p>
        </w:tc>
        <w:tc>
          <w:tcPr>
            <w:tcW w:w="1511" w:type="dxa"/>
            <w:vAlign w:val="center"/>
          </w:tcPr>
          <w:p w14:paraId="0E0F4E08">
            <w:pPr>
              <w:jc w:val="center"/>
              <w:rPr>
                <w:rFonts w:hint="eastAsia"/>
                <w:b/>
                <w:bCs/>
                <w:vertAlign w:val="baseline"/>
                <w:lang w:val="en-US" w:eastAsia="zh-CN"/>
              </w:rPr>
            </w:pPr>
            <w:r>
              <w:rPr>
                <w:rFonts w:hint="eastAsia"/>
                <w:color w:val="000000"/>
                <w:vertAlign w:val="baseline"/>
                <w:lang w:val="en-US" w:eastAsia="zh-CN"/>
              </w:rPr>
              <w:t>58-61</w:t>
            </w:r>
          </w:p>
        </w:tc>
        <w:tc>
          <w:tcPr>
            <w:tcW w:w="1318" w:type="dxa"/>
            <w:vAlign w:val="center"/>
          </w:tcPr>
          <w:p w14:paraId="33E5A274">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10</w:t>
            </w:r>
          </w:p>
        </w:tc>
        <w:tc>
          <w:tcPr>
            <w:tcW w:w="1510" w:type="dxa"/>
            <w:vAlign w:val="center"/>
          </w:tcPr>
          <w:p w14:paraId="722C5449">
            <w:pPr>
              <w:jc w:val="center"/>
              <w:rPr>
                <w:rFonts w:hint="default"/>
                <w:b/>
                <w:bCs/>
                <w:vertAlign w:val="baseline"/>
                <w:lang w:val="en-US" w:eastAsia="zh-CN"/>
              </w:rPr>
            </w:pPr>
            <w:r>
              <w:rPr>
                <w:rFonts w:hint="eastAsia"/>
                <w:b/>
                <w:bCs/>
                <w:vertAlign w:val="baseline"/>
                <w:lang w:val="en-US" w:eastAsia="zh-CN"/>
              </w:rPr>
              <w:t>10</w:t>
            </w:r>
          </w:p>
        </w:tc>
      </w:tr>
      <w:tr w14:paraId="52A4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0E97FA7">
            <w:pPr>
              <w:jc w:val="left"/>
              <w:rPr>
                <w:rFonts w:hint="eastAsia"/>
                <w:b/>
                <w:bCs/>
                <w:vertAlign w:val="baseline"/>
                <w:lang w:val="en-US" w:eastAsia="zh-CN"/>
              </w:rPr>
            </w:pPr>
          </w:p>
        </w:tc>
        <w:tc>
          <w:tcPr>
            <w:tcW w:w="9097" w:type="dxa"/>
            <w:vAlign w:val="center"/>
          </w:tcPr>
          <w:p w14:paraId="78A6A5AA">
            <w:pPr>
              <w:numPr>
                <w:ilvl w:val="0"/>
                <w:numId w:val="0"/>
              </w:numPr>
              <w:ind w:left="0" w:leftChars="0" w:firstLine="0" w:firstLineChars="0"/>
              <w:jc w:val="left"/>
              <w:rPr>
                <w:rFonts w:hint="eastAsia"/>
                <w:color w:val="FF0000"/>
                <w:lang w:val="en-US" w:eastAsia="zh-CN"/>
              </w:rPr>
            </w:pPr>
            <w:r>
              <w:rPr>
                <w:rFonts w:hint="eastAsia" w:ascii="宋体" w:hAnsi="宋体"/>
                <w:color w:val="000000"/>
                <w:sz w:val="21"/>
                <w:szCs w:val="21"/>
                <w:lang w:val="en-US" w:eastAsia="zh-CN"/>
              </w:rPr>
              <w:t>6.新时代数字生活手册—湖南篇，2021年国家开放大学，国家开放大学智慧助老系列课程资源建设项目，关于“智慧助老”系列课程资源建设及认证工作立项的通知</w:t>
            </w:r>
            <w:r>
              <w:rPr>
                <w:rFonts w:hint="eastAsia" w:ascii="宋体" w:hAnsi="宋体"/>
                <w:b w:val="0"/>
                <w:bCs w:val="0"/>
                <w:color w:val="000000"/>
                <w:sz w:val="21"/>
                <w:szCs w:val="21"/>
                <w:lang w:val="en-US" w:eastAsia="zh-CN"/>
              </w:rPr>
              <w:t>，主持，已完成；</w:t>
            </w:r>
          </w:p>
        </w:tc>
        <w:tc>
          <w:tcPr>
            <w:tcW w:w="1511" w:type="dxa"/>
            <w:vAlign w:val="center"/>
          </w:tcPr>
          <w:p w14:paraId="036DE046">
            <w:pPr>
              <w:jc w:val="center"/>
              <w:rPr>
                <w:rFonts w:hint="eastAsia"/>
                <w:b/>
                <w:bCs/>
                <w:vertAlign w:val="baseline"/>
                <w:lang w:val="en-US" w:eastAsia="zh-CN"/>
              </w:rPr>
            </w:pPr>
            <w:r>
              <w:rPr>
                <w:rFonts w:hint="eastAsia"/>
                <w:color w:val="000000"/>
                <w:vertAlign w:val="baseline"/>
                <w:lang w:val="en-US" w:eastAsia="zh-CN"/>
              </w:rPr>
              <w:t>62-66</w:t>
            </w:r>
          </w:p>
        </w:tc>
        <w:tc>
          <w:tcPr>
            <w:tcW w:w="1318" w:type="dxa"/>
            <w:vAlign w:val="center"/>
          </w:tcPr>
          <w:p w14:paraId="4D6C15CB">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10</w:t>
            </w:r>
          </w:p>
        </w:tc>
        <w:tc>
          <w:tcPr>
            <w:tcW w:w="1510" w:type="dxa"/>
            <w:vAlign w:val="center"/>
          </w:tcPr>
          <w:p w14:paraId="0295291C">
            <w:pPr>
              <w:jc w:val="center"/>
              <w:rPr>
                <w:rFonts w:hint="default"/>
                <w:b/>
                <w:bCs/>
                <w:vertAlign w:val="baseline"/>
                <w:lang w:val="en-US" w:eastAsia="zh-CN"/>
              </w:rPr>
            </w:pPr>
            <w:r>
              <w:rPr>
                <w:rFonts w:hint="eastAsia"/>
                <w:b/>
                <w:bCs/>
                <w:vertAlign w:val="baseline"/>
                <w:lang w:val="en-US" w:eastAsia="zh-CN"/>
              </w:rPr>
              <w:t>10</w:t>
            </w: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931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3A9E00B">
            <w:pPr>
              <w:jc w:val="left"/>
              <w:rPr>
                <w:rFonts w:hint="eastAsia"/>
                <w:b/>
                <w:bCs/>
                <w:vertAlign w:val="baseline"/>
                <w:lang w:val="en-US" w:eastAsia="zh-CN"/>
              </w:rPr>
            </w:pPr>
          </w:p>
        </w:tc>
        <w:tc>
          <w:tcPr>
            <w:tcW w:w="9097" w:type="dxa"/>
            <w:vAlign w:val="center"/>
          </w:tcPr>
          <w:p w14:paraId="02CB7A1C">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1.2020年，省级，“微课堂”带动“大学习”——探索老年教育服务新模式，湖南省职业院校线上教学优秀案例，独著，湖南省教育厅</w:t>
            </w:r>
          </w:p>
        </w:tc>
        <w:tc>
          <w:tcPr>
            <w:tcW w:w="1511" w:type="dxa"/>
            <w:vAlign w:val="center"/>
          </w:tcPr>
          <w:p w14:paraId="28B077CA">
            <w:pPr>
              <w:jc w:val="center"/>
              <w:rPr>
                <w:rFonts w:hint="eastAsia"/>
                <w:b/>
                <w:bCs/>
                <w:vertAlign w:val="baseline"/>
                <w:lang w:val="en-US" w:eastAsia="zh-CN"/>
              </w:rPr>
            </w:pPr>
            <w:r>
              <w:rPr>
                <w:rFonts w:hint="eastAsia"/>
                <w:color w:val="000000"/>
                <w:vertAlign w:val="baseline"/>
                <w:lang w:val="en-US" w:eastAsia="zh-CN"/>
              </w:rPr>
              <w:t>153-161</w:t>
            </w:r>
          </w:p>
        </w:tc>
        <w:tc>
          <w:tcPr>
            <w:tcW w:w="1318" w:type="dxa"/>
            <w:vAlign w:val="center"/>
          </w:tcPr>
          <w:p w14:paraId="12B42F97">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6</w:t>
            </w:r>
          </w:p>
        </w:tc>
        <w:tc>
          <w:tcPr>
            <w:tcW w:w="1510" w:type="dxa"/>
            <w:vAlign w:val="center"/>
          </w:tcPr>
          <w:p w14:paraId="2CA8DC9A">
            <w:pPr>
              <w:jc w:val="center"/>
              <w:rPr>
                <w:rFonts w:hint="default"/>
                <w:b/>
                <w:bCs/>
                <w:vertAlign w:val="baseline"/>
                <w:lang w:val="en-US" w:eastAsia="zh-CN"/>
              </w:rPr>
            </w:pPr>
            <w:r>
              <w:rPr>
                <w:rFonts w:hint="eastAsia"/>
                <w:b/>
                <w:bCs/>
                <w:vertAlign w:val="baseline"/>
                <w:lang w:val="en-US" w:eastAsia="zh-CN"/>
              </w:rPr>
              <w:t>2</w:t>
            </w:r>
          </w:p>
        </w:tc>
      </w:tr>
      <w:tr w14:paraId="22CF0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9044383">
            <w:pPr>
              <w:jc w:val="left"/>
              <w:rPr>
                <w:rFonts w:hint="eastAsia"/>
                <w:b/>
                <w:bCs/>
                <w:vertAlign w:val="baseline"/>
                <w:lang w:val="en-US" w:eastAsia="zh-CN"/>
              </w:rPr>
            </w:pPr>
          </w:p>
        </w:tc>
        <w:tc>
          <w:tcPr>
            <w:tcW w:w="9097" w:type="dxa"/>
            <w:vAlign w:val="center"/>
          </w:tcPr>
          <w:p w14:paraId="211F65A4">
            <w:pPr>
              <w:numPr>
                <w:ilvl w:val="0"/>
                <w:numId w:val="0"/>
              </w:numPr>
              <w:adjustRightInd w:val="0"/>
              <w:snapToGrid w:val="0"/>
              <w:ind w:left="0" w:leftChars="0" w:firstLine="0" w:firstLineChars="0"/>
              <w:jc w:val="both"/>
              <w:rPr>
                <w:rFonts w:hint="default"/>
                <w:b w:val="0"/>
                <w:bCs w:val="0"/>
                <w:color w:val="FF0000"/>
                <w:vertAlign w:val="baseline"/>
                <w:lang w:val="en-US" w:eastAsia="zh-CN"/>
              </w:rPr>
            </w:pPr>
            <w:r>
              <w:rPr>
                <w:rFonts w:hint="eastAsia" w:ascii="宋体" w:hAnsi="宋体"/>
                <w:color w:val="000000"/>
                <w:sz w:val="21"/>
                <w:szCs w:val="21"/>
                <w:lang w:val="en-US" w:eastAsia="zh-CN"/>
              </w:rPr>
              <w:t>2.2018年，省级，高职思想政治理论课生态化课堂构建的探索与实践，湖南省职业教育省级教学成果奖，</w:t>
            </w:r>
            <w:r>
              <w:rPr>
                <w:rFonts w:hint="eastAsia" w:ascii="宋体" w:hAnsi="宋体"/>
                <w:b w:val="0"/>
                <w:bCs w:val="0"/>
                <w:color w:val="000000"/>
                <w:sz w:val="21"/>
                <w:szCs w:val="21"/>
                <w:lang w:val="en-US" w:eastAsia="zh-CN"/>
              </w:rPr>
              <w:t>排7，湖南省教育厅</w:t>
            </w:r>
          </w:p>
        </w:tc>
        <w:tc>
          <w:tcPr>
            <w:tcW w:w="1511" w:type="dxa"/>
            <w:vAlign w:val="center"/>
          </w:tcPr>
          <w:p w14:paraId="0EDB7CE7">
            <w:pPr>
              <w:jc w:val="center"/>
              <w:rPr>
                <w:rFonts w:hint="eastAsia"/>
                <w:b/>
                <w:bCs/>
                <w:vertAlign w:val="baseline"/>
                <w:lang w:val="en-US" w:eastAsia="zh-CN"/>
              </w:rPr>
            </w:pPr>
            <w:r>
              <w:rPr>
                <w:rFonts w:hint="eastAsia"/>
                <w:color w:val="000000"/>
                <w:vertAlign w:val="baseline"/>
                <w:lang w:val="en-US" w:eastAsia="zh-CN"/>
              </w:rPr>
              <w:t>162</w:t>
            </w:r>
          </w:p>
        </w:tc>
        <w:tc>
          <w:tcPr>
            <w:tcW w:w="1318" w:type="dxa"/>
            <w:vAlign w:val="center"/>
          </w:tcPr>
          <w:p w14:paraId="204822E6">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0.3</w:t>
            </w:r>
          </w:p>
        </w:tc>
        <w:tc>
          <w:tcPr>
            <w:tcW w:w="1510" w:type="dxa"/>
            <w:vAlign w:val="center"/>
          </w:tcPr>
          <w:p w14:paraId="1019EE8D">
            <w:pPr>
              <w:jc w:val="center"/>
              <w:rPr>
                <w:rFonts w:hint="default"/>
                <w:b/>
                <w:bCs/>
                <w:vertAlign w:val="baseline"/>
                <w:lang w:val="en-US" w:eastAsia="zh-CN"/>
              </w:rPr>
            </w:pPr>
            <w:r>
              <w:rPr>
                <w:rFonts w:hint="eastAsia"/>
                <w:b/>
                <w:bCs/>
                <w:vertAlign w:val="baseline"/>
                <w:lang w:val="en-US" w:eastAsia="zh-CN"/>
              </w:rPr>
              <w:t>0</w:t>
            </w:r>
          </w:p>
        </w:tc>
      </w:tr>
      <w:tr w14:paraId="1EEAF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6EDBB">
            <w:pPr>
              <w:jc w:val="left"/>
              <w:rPr>
                <w:rFonts w:hint="eastAsia"/>
                <w:b/>
                <w:bCs/>
                <w:vertAlign w:val="baseline"/>
                <w:lang w:val="en-US" w:eastAsia="zh-CN"/>
              </w:rPr>
            </w:pPr>
          </w:p>
        </w:tc>
        <w:tc>
          <w:tcPr>
            <w:tcW w:w="9097" w:type="dxa"/>
            <w:vAlign w:val="center"/>
          </w:tcPr>
          <w:p w14:paraId="7D48005A">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3.2021年，省部级，老年人智能技术应用千课进社区，教育部“智慧助老”优质工作教学案例，排1，教育部职业教育与成人教育司</w:t>
            </w:r>
          </w:p>
        </w:tc>
        <w:tc>
          <w:tcPr>
            <w:tcW w:w="1511" w:type="dxa"/>
            <w:vAlign w:val="center"/>
          </w:tcPr>
          <w:p w14:paraId="7AF2CF10">
            <w:pPr>
              <w:jc w:val="center"/>
              <w:rPr>
                <w:rFonts w:hint="eastAsia"/>
                <w:b/>
                <w:bCs/>
                <w:vertAlign w:val="baseline"/>
                <w:lang w:val="en-US" w:eastAsia="zh-CN"/>
              </w:rPr>
            </w:pPr>
            <w:r>
              <w:rPr>
                <w:rFonts w:hint="eastAsia"/>
                <w:color w:val="000000"/>
                <w:vertAlign w:val="baseline"/>
                <w:lang w:val="en-US" w:eastAsia="zh-CN"/>
              </w:rPr>
              <w:t>164-174</w:t>
            </w:r>
          </w:p>
        </w:tc>
        <w:tc>
          <w:tcPr>
            <w:tcW w:w="1318" w:type="dxa"/>
            <w:vAlign w:val="center"/>
          </w:tcPr>
          <w:p w14:paraId="2BB58D3C">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4</w:t>
            </w:r>
          </w:p>
        </w:tc>
        <w:tc>
          <w:tcPr>
            <w:tcW w:w="1510" w:type="dxa"/>
            <w:vAlign w:val="center"/>
          </w:tcPr>
          <w:p w14:paraId="19F41072">
            <w:pPr>
              <w:jc w:val="center"/>
              <w:rPr>
                <w:rFonts w:hint="default"/>
                <w:b/>
                <w:bCs/>
                <w:vertAlign w:val="baseline"/>
                <w:lang w:val="en-US" w:eastAsia="zh-CN"/>
              </w:rPr>
            </w:pPr>
            <w:r>
              <w:rPr>
                <w:rFonts w:hint="eastAsia"/>
                <w:b/>
                <w:bCs/>
                <w:vertAlign w:val="baseline"/>
                <w:lang w:val="en-US" w:eastAsia="zh-CN"/>
              </w:rPr>
              <w:t>2</w:t>
            </w:r>
          </w:p>
        </w:tc>
      </w:tr>
      <w:tr w14:paraId="0568A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D37BA0F">
            <w:pPr>
              <w:jc w:val="left"/>
              <w:rPr>
                <w:rFonts w:hint="eastAsia"/>
                <w:b/>
                <w:bCs/>
                <w:vertAlign w:val="baseline"/>
                <w:lang w:val="en-US" w:eastAsia="zh-CN"/>
              </w:rPr>
            </w:pPr>
          </w:p>
        </w:tc>
        <w:tc>
          <w:tcPr>
            <w:tcW w:w="9097" w:type="dxa"/>
            <w:vAlign w:val="center"/>
          </w:tcPr>
          <w:p w14:paraId="249A2BD1">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4.2022年，省部级，依托社区教育机构开展社区家庭教育，教育部社区教育“能者为师”实践创新项目，排1，教育部职业教育与成人教育司；</w:t>
            </w:r>
          </w:p>
        </w:tc>
        <w:tc>
          <w:tcPr>
            <w:tcW w:w="1511" w:type="dxa"/>
            <w:vAlign w:val="center"/>
          </w:tcPr>
          <w:p w14:paraId="05BB2264">
            <w:pPr>
              <w:jc w:val="center"/>
              <w:rPr>
                <w:rFonts w:hint="eastAsia"/>
                <w:b/>
                <w:bCs/>
                <w:vertAlign w:val="baseline"/>
                <w:lang w:val="en-US" w:eastAsia="zh-CN"/>
              </w:rPr>
            </w:pPr>
            <w:r>
              <w:rPr>
                <w:rFonts w:hint="eastAsia"/>
                <w:color w:val="000000"/>
                <w:vertAlign w:val="baseline"/>
                <w:lang w:val="en-US" w:eastAsia="zh-CN"/>
              </w:rPr>
              <w:t>175-188</w:t>
            </w:r>
          </w:p>
        </w:tc>
        <w:tc>
          <w:tcPr>
            <w:tcW w:w="1318" w:type="dxa"/>
            <w:vAlign w:val="center"/>
          </w:tcPr>
          <w:p w14:paraId="5412A7EC">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4</w:t>
            </w:r>
          </w:p>
        </w:tc>
        <w:tc>
          <w:tcPr>
            <w:tcW w:w="1510" w:type="dxa"/>
            <w:vMerge w:val="restart"/>
            <w:vAlign w:val="center"/>
          </w:tcPr>
          <w:p w14:paraId="300DA36F">
            <w:pPr>
              <w:jc w:val="center"/>
              <w:rPr>
                <w:rFonts w:hint="default"/>
                <w:b/>
                <w:bCs/>
                <w:vertAlign w:val="baseline"/>
                <w:lang w:val="en-US" w:eastAsia="zh-CN"/>
              </w:rPr>
            </w:pPr>
            <w:r>
              <w:rPr>
                <w:rFonts w:hint="eastAsia"/>
                <w:b/>
                <w:bCs/>
                <w:vertAlign w:val="baseline"/>
                <w:lang w:val="en-US" w:eastAsia="zh-CN"/>
              </w:rPr>
              <w:t>5</w:t>
            </w:r>
          </w:p>
        </w:tc>
      </w:tr>
      <w:tr w14:paraId="290E9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B2C4C1">
            <w:pPr>
              <w:jc w:val="left"/>
              <w:rPr>
                <w:rFonts w:hint="eastAsia"/>
                <w:b/>
                <w:bCs/>
                <w:vertAlign w:val="baseline"/>
                <w:lang w:val="en-US" w:eastAsia="zh-CN"/>
              </w:rPr>
            </w:pPr>
          </w:p>
        </w:tc>
        <w:tc>
          <w:tcPr>
            <w:tcW w:w="9097" w:type="dxa"/>
            <w:vAlign w:val="center"/>
          </w:tcPr>
          <w:p w14:paraId="2A7559FE">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5.2021年，省级，湖南老科协大讲堂，社区教育“能者为师”实践创新项目项目，排1，湖南省教育厅；</w:t>
            </w:r>
          </w:p>
        </w:tc>
        <w:tc>
          <w:tcPr>
            <w:tcW w:w="1511" w:type="dxa"/>
            <w:vAlign w:val="center"/>
          </w:tcPr>
          <w:p w14:paraId="146399C2">
            <w:pPr>
              <w:jc w:val="center"/>
              <w:rPr>
                <w:rFonts w:hint="eastAsia"/>
                <w:b/>
                <w:bCs/>
                <w:vertAlign w:val="baseline"/>
                <w:lang w:val="en-US" w:eastAsia="zh-CN"/>
              </w:rPr>
            </w:pPr>
            <w:r>
              <w:rPr>
                <w:rFonts w:hint="eastAsia"/>
                <w:color w:val="000000"/>
                <w:vertAlign w:val="baseline"/>
                <w:lang w:val="en-US" w:eastAsia="zh-CN"/>
              </w:rPr>
              <w:t>189-200</w:t>
            </w:r>
          </w:p>
        </w:tc>
        <w:tc>
          <w:tcPr>
            <w:tcW w:w="1318" w:type="dxa"/>
            <w:vAlign w:val="center"/>
          </w:tcPr>
          <w:p w14:paraId="2C2E8123">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4</w:t>
            </w:r>
          </w:p>
        </w:tc>
        <w:tc>
          <w:tcPr>
            <w:tcW w:w="1510" w:type="dxa"/>
            <w:vMerge w:val="continue"/>
            <w:tcBorders/>
            <w:vAlign w:val="center"/>
          </w:tcPr>
          <w:p w14:paraId="42FE073C">
            <w:pPr>
              <w:jc w:val="left"/>
              <w:rPr>
                <w:rFonts w:hint="eastAsia"/>
                <w:b/>
                <w:bCs/>
                <w:vertAlign w:val="baseline"/>
                <w:lang w:val="en-US" w:eastAsia="zh-CN"/>
              </w:rPr>
            </w:pPr>
          </w:p>
        </w:tc>
      </w:tr>
      <w:tr w14:paraId="3EF74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5E32A9">
            <w:pPr>
              <w:jc w:val="left"/>
              <w:rPr>
                <w:rFonts w:hint="eastAsia"/>
                <w:b/>
                <w:bCs/>
                <w:vertAlign w:val="baseline"/>
                <w:lang w:val="en-US" w:eastAsia="zh-CN"/>
              </w:rPr>
            </w:pPr>
          </w:p>
        </w:tc>
        <w:tc>
          <w:tcPr>
            <w:tcW w:w="9097" w:type="dxa"/>
            <w:vAlign w:val="center"/>
          </w:tcPr>
          <w:p w14:paraId="5C19A418">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6.2020年，厅级，用互联网方式解决老年教育供给不足，湖南省社区教育优秀案例，独著，湖南省终身教育指导服务中心；</w:t>
            </w:r>
          </w:p>
        </w:tc>
        <w:tc>
          <w:tcPr>
            <w:tcW w:w="1511" w:type="dxa"/>
            <w:vAlign w:val="center"/>
          </w:tcPr>
          <w:p w14:paraId="6F5E54AC">
            <w:pPr>
              <w:jc w:val="center"/>
              <w:rPr>
                <w:rFonts w:hint="eastAsia"/>
                <w:b/>
                <w:bCs/>
                <w:vertAlign w:val="baseline"/>
                <w:lang w:val="en-US" w:eastAsia="zh-CN"/>
              </w:rPr>
            </w:pPr>
            <w:r>
              <w:rPr>
                <w:rFonts w:hint="eastAsia"/>
                <w:color w:val="000000"/>
                <w:vertAlign w:val="baseline"/>
                <w:lang w:val="en-US" w:eastAsia="zh-CN"/>
              </w:rPr>
              <w:t>201-207</w:t>
            </w:r>
          </w:p>
        </w:tc>
        <w:tc>
          <w:tcPr>
            <w:tcW w:w="1318" w:type="dxa"/>
            <w:vAlign w:val="center"/>
          </w:tcPr>
          <w:p w14:paraId="098A162E">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2</w:t>
            </w:r>
          </w:p>
        </w:tc>
        <w:tc>
          <w:tcPr>
            <w:tcW w:w="1510" w:type="dxa"/>
            <w:vAlign w:val="center"/>
          </w:tcPr>
          <w:p w14:paraId="6FFA86D2">
            <w:pPr>
              <w:jc w:val="center"/>
              <w:rPr>
                <w:rFonts w:hint="default"/>
                <w:b/>
                <w:bCs/>
                <w:vertAlign w:val="baseline"/>
                <w:lang w:val="en-US" w:eastAsia="zh-CN"/>
              </w:rPr>
            </w:pPr>
            <w:r>
              <w:rPr>
                <w:rFonts w:hint="eastAsia"/>
                <w:b/>
                <w:bCs/>
                <w:vertAlign w:val="baseline"/>
                <w:lang w:val="en-US" w:eastAsia="zh-CN"/>
              </w:rPr>
              <w:t>2</w:t>
            </w:r>
          </w:p>
        </w:tc>
      </w:tr>
      <w:tr w14:paraId="065D0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8F7B66D">
            <w:pPr>
              <w:jc w:val="left"/>
              <w:rPr>
                <w:rFonts w:hint="eastAsia"/>
                <w:b/>
                <w:bCs/>
                <w:vertAlign w:val="baseline"/>
                <w:lang w:val="en-US" w:eastAsia="zh-CN"/>
              </w:rPr>
            </w:pPr>
          </w:p>
        </w:tc>
        <w:tc>
          <w:tcPr>
            <w:tcW w:w="9097" w:type="dxa"/>
            <w:vAlign w:val="center"/>
          </w:tcPr>
          <w:p w14:paraId="24B240B4">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7.2022年，国家级，守护江豚的家园，参加首届全国各省市区社科普及基地讲解员大赛荣获全国科普大赛三等奖，排2，全国科普大赛组委会；</w:t>
            </w:r>
          </w:p>
        </w:tc>
        <w:tc>
          <w:tcPr>
            <w:tcW w:w="1511" w:type="dxa"/>
            <w:vAlign w:val="center"/>
          </w:tcPr>
          <w:p w14:paraId="7E9A3FF4">
            <w:pPr>
              <w:jc w:val="center"/>
              <w:rPr>
                <w:rFonts w:hint="eastAsia"/>
                <w:b/>
                <w:bCs/>
                <w:vertAlign w:val="baseline"/>
                <w:lang w:val="en-US" w:eastAsia="zh-CN"/>
              </w:rPr>
            </w:pPr>
            <w:r>
              <w:rPr>
                <w:rFonts w:hint="eastAsia"/>
                <w:color w:val="000000"/>
                <w:vertAlign w:val="baseline"/>
                <w:lang w:val="en-US" w:eastAsia="zh-CN"/>
              </w:rPr>
              <w:t>208-212</w:t>
            </w:r>
          </w:p>
        </w:tc>
        <w:tc>
          <w:tcPr>
            <w:tcW w:w="1318" w:type="dxa"/>
            <w:vAlign w:val="center"/>
          </w:tcPr>
          <w:p w14:paraId="27C0C9D9">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2</w:t>
            </w:r>
          </w:p>
        </w:tc>
        <w:tc>
          <w:tcPr>
            <w:tcW w:w="1510" w:type="dxa"/>
            <w:vAlign w:val="center"/>
          </w:tcPr>
          <w:p w14:paraId="689FEB79">
            <w:pPr>
              <w:jc w:val="center"/>
              <w:rPr>
                <w:rFonts w:hint="default"/>
                <w:b/>
                <w:bCs/>
                <w:vertAlign w:val="baseline"/>
                <w:lang w:val="en-US" w:eastAsia="zh-CN"/>
              </w:rPr>
            </w:pPr>
            <w:r>
              <w:rPr>
                <w:rFonts w:hint="eastAsia"/>
                <w:b/>
                <w:bCs/>
                <w:vertAlign w:val="baseline"/>
                <w:lang w:val="en-US" w:eastAsia="zh-CN"/>
              </w:rPr>
              <w:t>1</w:t>
            </w:r>
          </w:p>
        </w:tc>
      </w:tr>
      <w:tr w14:paraId="4CA84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859B7E8">
            <w:pPr>
              <w:jc w:val="left"/>
              <w:rPr>
                <w:rFonts w:hint="eastAsia"/>
                <w:b/>
                <w:bCs/>
                <w:vertAlign w:val="baseline"/>
                <w:lang w:val="en-US" w:eastAsia="zh-CN"/>
              </w:rPr>
            </w:pPr>
          </w:p>
        </w:tc>
        <w:tc>
          <w:tcPr>
            <w:tcW w:w="9097" w:type="dxa"/>
            <w:vAlign w:val="center"/>
          </w:tcPr>
          <w:p w14:paraId="5C662C1A">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8.2019年，国家级，湖南老干部（老年）开放大学，被评为2019年全国优秀成人教育院校，排1，中国成人教育协会；</w:t>
            </w:r>
          </w:p>
        </w:tc>
        <w:tc>
          <w:tcPr>
            <w:tcW w:w="1511" w:type="dxa"/>
            <w:vAlign w:val="center"/>
          </w:tcPr>
          <w:p w14:paraId="59B35B9D">
            <w:pPr>
              <w:jc w:val="center"/>
              <w:rPr>
                <w:rFonts w:hint="eastAsia"/>
                <w:b/>
                <w:bCs/>
                <w:vertAlign w:val="baseline"/>
                <w:lang w:val="en-US" w:eastAsia="zh-CN"/>
              </w:rPr>
            </w:pPr>
            <w:r>
              <w:rPr>
                <w:rFonts w:hint="eastAsia"/>
                <w:color w:val="000000"/>
                <w:vertAlign w:val="baseline"/>
                <w:lang w:val="en-US" w:eastAsia="zh-CN"/>
              </w:rPr>
              <w:t>213-214</w:t>
            </w:r>
          </w:p>
        </w:tc>
        <w:tc>
          <w:tcPr>
            <w:tcW w:w="1318" w:type="dxa"/>
            <w:vAlign w:val="center"/>
          </w:tcPr>
          <w:p w14:paraId="1A0E4480">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4</w:t>
            </w:r>
          </w:p>
        </w:tc>
        <w:tc>
          <w:tcPr>
            <w:tcW w:w="1510" w:type="dxa"/>
            <w:vAlign w:val="center"/>
          </w:tcPr>
          <w:p w14:paraId="7DC16470">
            <w:pPr>
              <w:jc w:val="center"/>
              <w:rPr>
                <w:rFonts w:hint="default"/>
                <w:b/>
                <w:bCs/>
                <w:vertAlign w:val="baseline"/>
                <w:lang w:val="en-US" w:eastAsia="zh-CN"/>
              </w:rPr>
            </w:pPr>
            <w:r>
              <w:rPr>
                <w:rFonts w:hint="eastAsia"/>
                <w:b/>
                <w:bCs/>
                <w:vertAlign w:val="baseline"/>
                <w:lang w:val="en-US" w:eastAsia="zh-CN"/>
              </w:rPr>
              <w:t>0</w:t>
            </w:r>
          </w:p>
        </w:tc>
      </w:tr>
      <w:tr w14:paraId="5A319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24EC48">
            <w:pPr>
              <w:jc w:val="left"/>
              <w:rPr>
                <w:rFonts w:hint="eastAsia"/>
                <w:b/>
                <w:bCs/>
                <w:vertAlign w:val="baseline"/>
                <w:lang w:val="en-US" w:eastAsia="zh-CN"/>
              </w:rPr>
            </w:pPr>
          </w:p>
        </w:tc>
        <w:tc>
          <w:tcPr>
            <w:tcW w:w="9097" w:type="dxa"/>
            <w:vAlign w:val="center"/>
          </w:tcPr>
          <w:p w14:paraId="3910C937">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9.2024年，国家级，合唱节目《追寻》获2024年全国老年教育合唱类教学成果“一等奖”，团队负责人，国家老年大学；</w:t>
            </w:r>
          </w:p>
        </w:tc>
        <w:tc>
          <w:tcPr>
            <w:tcW w:w="1511" w:type="dxa"/>
            <w:vAlign w:val="center"/>
          </w:tcPr>
          <w:p w14:paraId="22446434">
            <w:pPr>
              <w:jc w:val="center"/>
              <w:rPr>
                <w:rFonts w:hint="eastAsia"/>
                <w:b/>
                <w:bCs/>
                <w:vertAlign w:val="baseline"/>
                <w:lang w:val="en-US" w:eastAsia="zh-CN"/>
              </w:rPr>
            </w:pPr>
            <w:r>
              <w:rPr>
                <w:rFonts w:hint="eastAsia"/>
                <w:color w:val="000000"/>
                <w:vertAlign w:val="baseline"/>
                <w:lang w:val="en-US" w:eastAsia="zh-CN"/>
              </w:rPr>
              <w:t>215-220</w:t>
            </w:r>
          </w:p>
        </w:tc>
        <w:tc>
          <w:tcPr>
            <w:tcW w:w="1318" w:type="dxa"/>
            <w:vAlign w:val="center"/>
          </w:tcPr>
          <w:p w14:paraId="0BA19FA7">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6</w:t>
            </w:r>
          </w:p>
        </w:tc>
        <w:tc>
          <w:tcPr>
            <w:tcW w:w="1510" w:type="dxa"/>
            <w:vAlign w:val="center"/>
          </w:tcPr>
          <w:p w14:paraId="2EADAD8B">
            <w:pPr>
              <w:jc w:val="center"/>
              <w:rPr>
                <w:rFonts w:hint="default"/>
                <w:b/>
                <w:bCs/>
                <w:vertAlign w:val="baseline"/>
                <w:lang w:val="en-US" w:eastAsia="zh-CN"/>
              </w:rPr>
            </w:pPr>
            <w:r>
              <w:rPr>
                <w:rFonts w:hint="eastAsia"/>
                <w:b/>
                <w:bCs/>
                <w:vertAlign w:val="baseline"/>
                <w:lang w:val="en-US" w:eastAsia="zh-CN"/>
              </w:rPr>
              <w:t>0</w:t>
            </w:r>
          </w:p>
        </w:tc>
      </w:tr>
      <w:tr w14:paraId="269C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FC4051">
            <w:pPr>
              <w:jc w:val="left"/>
              <w:rPr>
                <w:rFonts w:hint="eastAsia"/>
                <w:b/>
                <w:bCs/>
                <w:vertAlign w:val="baseline"/>
                <w:lang w:val="en-US" w:eastAsia="zh-CN"/>
              </w:rPr>
            </w:pPr>
          </w:p>
        </w:tc>
        <w:tc>
          <w:tcPr>
            <w:tcW w:w="9097" w:type="dxa"/>
            <w:vAlign w:val="center"/>
          </w:tcPr>
          <w:p w14:paraId="5DE228C0">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10.2024年，国家级，民族舞《红高粱随想》获2024年全国老年教育舞蹈类教学成果“二等奖”，团队负责人，国家老年大学；</w:t>
            </w:r>
          </w:p>
        </w:tc>
        <w:tc>
          <w:tcPr>
            <w:tcW w:w="1511" w:type="dxa"/>
            <w:vAlign w:val="center"/>
          </w:tcPr>
          <w:p w14:paraId="5F870E3F">
            <w:pPr>
              <w:jc w:val="center"/>
              <w:rPr>
                <w:rFonts w:hint="eastAsia"/>
                <w:b/>
                <w:bCs/>
                <w:vertAlign w:val="baseline"/>
                <w:lang w:val="en-US" w:eastAsia="zh-CN"/>
              </w:rPr>
            </w:pPr>
            <w:r>
              <w:rPr>
                <w:rFonts w:hint="eastAsia"/>
                <w:color w:val="000000"/>
                <w:vertAlign w:val="baseline"/>
                <w:lang w:val="en-US" w:eastAsia="zh-CN"/>
              </w:rPr>
              <w:t>221-226</w:t>
            </w:r>
          </w:p>
        </w:tc>
        <w:tc>
          <w:tcPr>
            <w:tcW w:w="1318" w:type="dxa"/>
            <w:vAlign w:val="center"/>
          </w:tcPr>
          <w:p w14:paraId="42A870C6">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4</w:t>
            </w:r>
          </w:p>
        </w:tc>
        <w:tc>
          <w:tcPr>
            <w:tcW w:w="1510" w:type="dxa"/>
            <w:vAlign w:val="center"/>
          </w:tcPr>
          <w:p w14:paraId="31F15269">
            <w:pPr>
              <w:jc w:val="center"/>
              <w:rPr>
                <w:rFonts w:hint="default"/>
                <w:b/>
                <w:bCs/>
                <w:vertAlign w:val="baseline"/>
                <w:lang w:val="en-US" w:eastAsia="zh-CN"/>
              </w:rPr>
            </w:pPr>
            <w:r>
              <w:rPr>
                <w:rFonts w:hint="eastAsia"/>
                <w:b/>
                <w:bCs/>
                <w:vertAlign w:val="baseline"/>
                <w:lang w:val="en-US" w:eastAsia="zh-CN"/>
              </w:rPr>
              <w:t>4</w:t>
            </w:r>
          </w:p>
        </w:tc>
      </w:tr>
      <w:tr w14:paraId="16CBD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48ECE9">
            <w:pPr>
              <w:jc w:val="left"/>
              <w:rPr>
                <w:rFonts w:hint="eastAsia"/>
                <w:b/>
                <w:bCs/>
                <w:vertAlign w:val="baseline"/>
                <w:lang w:val="en-US" w:eastAsia="zh-CN"/>
              </w:rPr>
            </w:pPr>
          </w:p>
        </w:tc>
        <w:tc>
          <w:tcPr>
            <w:tcW w:w="9097" w:type="dxa"/>
            <w:vAlign w:val="center"/>
          </w:tcPr>
          <w:p w14:paraId="1A61991C">
            <w:pPr>
              <w:numPr>
                <w:ilvl w:val="0"/>
                <w:numId w:val="0"/>
              </w:numPr>
              <w:adjustRightInd w:val="0"/>
              <w:snapToGrid w:val="0"/>
              <w:ind w:left="0" w:leftChars="0" w:firstLine="0" w:firstLineChars="0"/>
              <w:jc w:val="both"/>
              <w:rPr>
                <w:rFonts w:hint="default"/>
                <w:b w:val="0"/>
                <w:bCs w:val="0"/>
                <w:color w:val="FF0000"/>
                <w:vertAlign w:val="baseline"/>
                <w:lang w:val="en-US" w:eastAsia="zh-CN"/>
              </w:rPr>
            </w:pPr>
            <w:r>
              <w:rPr>
                <w:rFonts w:hint="eastAsia" w:ascii="宋体" w:hAnsi="宋体"/>
                <w:color w:val="000000"/>
                <w:sz w:val="21"/>
                <w:szCs w:val="21"/>
                <w:lang w:val="en-US" w:eastAsia="zh-CN"/>
              </w:rPr>
              <w:t>11.2024年，省级，助力“智慧长者”乐享数字化发展——湖南开放大学数字化老年教育的探索与实践案例，荣获“省级典型案例”，排1，中共湖南省委网络安全和信息化委员会办公室；</w:t>
            </w:r>
          </w:p>
        </w:tc>
        <w:tc>
          <w:tcPr>
            <w:tcW w:w="1511" w:type="dxa"/>
            <w:vAlign w:val="center"/>
          </w:tcPr>
          <w:p w14:paraId="37C36AEA">
            <w:pPr>
              <w:jc w:val="center"/>
              <w:rPr>
                <w:rFonts w:hint="eastAsia"/>
                <w:b/>
                <w:bCs/>
                <w:vertAlign w:val="baseline"/>
                <w:lang w:val="en-US" w:eastAsia="zh-CN"/>
              </w:rPr>
            </w:pPr>
            <w:r>
              <w:rPr>
                <w:rFonts w:hint="eastAsia"/>
                <w:color w:val="000000"/>
                <w:vertAlign w:val="baseline"/>
                <w:lang w:val="en-US" w:eastAsia="zh-CN"/>
              </w:rPr>
              <w:t>227-238</w:t>
            </w:r>
          </w:p>
        </w:tc>
        <w:tc>
          <w:tcPr>
            <w:tcW w:w="1318" w:type="dxa"/>
            <w:vAlign w:val="center"/>
          </w:tcPr>
          <w:p w14:paraId="59F05626">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6</w:t>
            </w:r>
          </w:p>
        </w:tc>
        <w:tc>
          <w:tcPr>
            <w:tcW w:w="1510" w:type="dxa"/>
            <w:vAlign w:val="center"/>
          </w:tcPr>
          <w:p w14:paraId="4791A51D">
            <w:pPr>
              <w:jc w:val="center"/>
              <w:rPr>
                <w:rFonts w:hint="default"/>
                <w:b/>
                <w:bCs/>
                <w:vertAlign w:val="baseline"/>
                <w:lang w:val="en-US" w:eastAsia="zh-CN"/>
              </w:rPr>
            </w:pPr>
            <w:r>
              <w:rPr>
                <w:rFonts w:hint="eastAsia"/>
                <w:b/>
                <w:bCs/>
                <w:vertAlign w:val="baseline"/>
                <w:lang w:val="en-US" w:eastAsia="zh-CN"/>
              </w:rPr>
              <w:t>2</w:t>
            </w:r>
          </w:p>
        </w:tc>
      </w:tr>
      <w:tr w14:paraId="47122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90D09F8">
            <w:pPr>
              <w:jc w:val="left"/>
              <w:rPr>
                <w:rFonts w:hint="eastAsia"/>
                <w:b/>
                <w:bCs/>
                <w:vertAlign w:val="baseline"/>
                <w:lang w:val="en-US" w:eastAsia="zh-CN"/>
              </w:rPr>
            </w:pPr>
          </w:p>
        </w:tc>
        <w:tc>
          <w:tcPr>
            <w:tcW w:w="9097" w:type="dxa"/>
            <w:vAlign w:val="center"/>
          </w:tcPr>
          <w:p w14:paraId="27759F1B">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12.2024年，省级，聚焦“爱晚”项目建设，助力老年智慧教育，荣获省教育厅优质工作案例，排1，湖南省教育厅；</w:t>
            </w:r>
          </w:p>
        </w:tc>
        <w:tc>
          <w:tcPr>
            <w:tcW w:w="1511" w:type="dxa"/>
            <w:vAlign w:val="center"/>
          </w:tcPr>
          <w:p w14:paraId="4A35DC7C">
            <w:pPr>
              <w:jc w:val="center"/>
              <w:rPr>
                <w:rFonts w:hint="eastAsia"/>
                <w:b/>
                <w:bCs/>
                <w:vertAlign w:val="baseline"/>
                <w:lang w:val="en-US" w:eastAsia="zh-CN"/>
              </w:rPr>
            </w:pPr>
            <w:r>
              <w:rPr>
                <w:rFonts w:hint="eastAsia"/>
                <w:color w:val="000000"/>
                <w:vertAlign w:val="baseline"/>
                <w:lang w:val="en-US" w:eastAsia="zh-CN"/>
              </w:rPr>
              <w:t>239-249</w:t>
            </w:r>
          </w:p>
        </w:tc>
        <w:tc>
          <w:tcPr>
            <w:tcW w:w="1318" w:type="dxa"/>
            <w:vAlign w:val="center"/>
          </w:tcPr>
          <w:p w14:paraId="231ACAD4">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6</w:t>
            </w:r>
          </w:p>
        </w:tc>
        <w:tc>
          <w:tcPr>
            <w:tcW w:w="1510" w:type="dxa"/>
            <w:vAlign w:val="center"/>
          </w:tcPr>
          <w:p w14:paraId="0EC081B6">
            <w:pPr>
              <w:jc w:val="center"/>
              <w:rPr>
                <w:rFonts w:hint="default"/>
                <w:b/>
                <w:bCs/>
                <w:vertAlign w:val="baseline"/>
                <w:lang w:val="en-US" w:eastAsia="zh-CN"/>
              </w:rPr>
            </w:pPr>
            <w:r>
              <w:rPr>
                <w:rFonts w:hint="eastAsia"/>
                <w:b/>
                <w:bCs/>
                <w:vertAlign w:val="baseline"/>
                <w:lang w:val="en-US" w:eastAsia="zh-CN"/>
              </w:rPr>
              <w:t>2</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68F91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77B75A5">
            <w:pPr>
              <w:jc w:val="left"/>
              <w:rPr>
                <w:rFonts w:hint="eastAsia"/>
                <w:b w:val="0"/>
                <w:bCs w:val="0"/>
                <w:color w:val="FF0000"/>
                <w:vertAlign w:val="baseline"/>
                <w:lang w:val="en-US" w:eastAsia="zh-CN"/>
              </w:rPr>
            </w:pPr>
          </w:p>
        </w:tc>
        <w:tc>
          <w:tcPr>
            <w:tcW w:w="9097" w:type="dxa"/>
            <w:vAlign w:val="center"/>
          </w:tcPr>
          <w:p w14:paraId="7422B3DE">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1.2016年，校级，指导学生参加学校思想政治理论课研究性学习成果展示竞赛，二等奖，湖南网络工程职业学院；</w:t>
            </w:r>
          </w:p>
        </w:tc>
        <w:tc>
          <w:tcPr>
            <w:tcW w:w="1511" w:type="dxa"/>
            <w:vAlign w:val="center"/>
          </w:tcPr>
          <w:p w14:paraId="62940479">
            <w:pPr>
              <w:jc w:val="center"/>
              <w:rPr>
                <w:rFonts w:hint="eastAsia"/>
                <w:b/>
                <w:bCs/>
                <w:vertAlign w:val="baseline"/>
                <w:lang w:val="en-US" w:eastAsia="zh-CN"/>
              </w:rPr>
            </w:pPr>
            <w:r>
              <w:rPr>
                <w:rFonts w:hint="eastAsia"/>
                <w:color w:val="000000"/>
                <w:vertAlign w:val="baseline"/>
                <w:lang w:val="en-US" w:eastAsia="zh-CN"/>
              </w:rPr>
              <w:t>250-252</w:t>
            </w:r>
          </w:p>
        </w:tc>
        <w:tc>
          <w:tcPr>
            <w:tcW w:w="1318" w:type="dxa"/>
            <w:vAlign w:val="center"/>
          </w:tcPr>
          <w:p w14:paraId="7A7CD154">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w:t>
            </w:r>
          </w:p>
        </w:tc>
        <w:tc>
          <w:tcPr>
            <w:tcW w:w="1510" w:type="dxa"/>
            <w:vAlign w:val="center"/>
          </w:tcPr>
          <w:p w14:paraId="78912CE0">
            <w:pPr>
              <w:jc w:val="center"/>
              <w:rPr>
                <w:rFonts w:hint="default"/>
                <w:b/>
                <w:bCs/>
                <w:vertAlign w:val="baseline"/>
                <w:lang w:val="en-US" w:eastAsia="zh-CN"/>
              </w:rPr>
            </w:pPr>
            <w:r>
              <w:rPr>
                <w:rFonts w:hint="eastAsia"/>
                <w:b/>
                <w:bCs/>
                <w:vertAlign w:val="baseline"/>
                <w:lang w:val="en-US" w:eastAsia="zh-CN"/>
              </w:rPr>
              <w:t>0</w:t>
            </w:r>
          </w:p>
        </w:tc>
      </w:tr>
      <w:tr w14:paraId="1A569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C2BC85">
            <w:pPr>
              <w:jc w:val="left"/>
              <w:rPr>
                <w:rFonts w:hint="eastAsia"/>
                <w:b w:val="0"/>
                <w:bCs w:val="0"/>
                <w:color w:val="FF0000"/>
                <w:vertAlign w:val="baseline"/>
                <w:lang w:val="en-US" w:eastAsia="zh-CN"/>
              </w:rPr>
            </w:pPr>
          </w:p>
        </w:tc>
        <w:tc>
          <w:tcPr>
            <w:tcW w:w="9097" w:type="dxa"/>
            <w:vAlign w:val="center"/>
          </w:tcPr>
          <w:p w14:paraId="1EB5DB3D">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2.2017年，校级，指导学生参加学校思想政治理论课研究性学习成果展示竞赛，三等奖，湖南网络工程职业学院；</w:t>
            </w:r>
          </w:p>
        </w:tc>
        <w:tc>
          <w:tcPr>
            <w:tcW w:w="1511" w:type="dxa"/>
            <w:vAlign w:val="center"/>
          </w:tcPr>
          <w:p w14:paraId="497CA07A">
            <w:pPr>
              <w:jc w:val="center"/>
              <w:rPr>
                <w:rFonts w:hint="eastAsia"/>
                <w:b/>
                <w:bCs/>
                <w:vertAlign w:val="baseline"/>
                <w:lang w:val="en-US" w:eastAsia="zh-CN"/>
              </w:rPr>
            </w:pPr>
            <w:r>
              <w:rPr>
                <w:rFonts w:hint="eastAsia"/>
                <w:color w:val="000000"/>
                <w:vertAlign w:val="baseline"/>
                <w:lang w:val="en-US" w:eastAsia="zh-CN"/>
              </w:rPr>
              <w:t>253-256</w:t>
            </w:r>
          </w:p>
        </w:tc>
        <w:tc>
          <w:tcPr>
            <w:tcW w:w="1318" w:type="dxa"/>
            <w:vAlign w:val="center"/>
          </w:tcPr>
          <w:p w14:paraId="1C60D914">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w:t>
            </w:r>
          </w:p>
        </w:tc>
        <w:tc>
          <w:tcPr>
            <w:tcW w:w="1510" w:type="dxa"/>
            <w:vAlign w:val="center"/>
          </w:tcPr>
          <w:p w14:paraId="74668608">
            <w:pPr>
              <w:jc w:val="center"/>
              <w:rPr>
                <w:rFonts w:hint="default"/>
                <w:b/>
                <w:bCs/>
                <w:vertAlign w:val="baseline"/>
                <w:lang w:val="en-US" w:eastAsia="zh-CN"/>
              </w:rPr>
            </w:pPr>
            <w:r>
              <w:rPr>
                <w:rFonts w:hint="eastAsia"/>
                <w:b/>
                <w:bCs/>
                <w:vertAlign w:val="baseline"/>
                <w:lang w:val="en-US" w:eastAsia="zh-CN"/>
              </w:rPr>
              <w:t>0</w:t>
            </w:r>
          </w:p>
        </w:tc>
      </w:tr>
      <w:tr w14:paraId="7A385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C042C1">
            <w:pPr>
              <w:jc w:val="left"/>
              <w:rPr>
                <w:rFonts w:hint="eastAsia"/>
                <w:b w:val="0"/>
                <w:bCs w:val="0"/>
                <w:color w:val="FF0000"/>
                <w:vertAlign w:val="baseline"/>
                <w:lang w:val="en-US" w:eastAsia="zh-CN"/>
              </w:rPr>
            </w:pPr>
          </w:p>
        </w:tc>
        <w:tc>
          <w:tcPr>
            <w:tcW w:w="9097" w:type="dxa"/>
            <w:vAlign w:val="center"/>
          </w:tcPr>
          <w:p w14:paraId="5B5E0F00">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3.2021年，省级，湖南老干部（老年）开放大学合唱团在2021年全省离退休干部庆祝中国共产党成立100周年“金秋颂党恩 启航新征程”主题活动比赛中，一等奖，指导老师，中共湖南省委老干部局；</w:t>
            </w:r>
          </w:p>
        </w:tc>
        <w:tc>
          <w:tcPr>
            <w:tcW w:w="1511" w:type="dxa"/>
            <w:vAlign w:val="center"/>
          </w:tcPr>
          <w:p w14:paraId="41D5F817">
            <w:pPr>
              <w:jc w:val="center"/>
              <w:rPr>
                <w:rFonts w:hint="eastAsia"/>
                <w:b/>
                <w:bCs/>
                <w:vertAlign w:val="baseline"/>
                <w:lang w:val="en-US" w:eastAsia="zh-CN"/>
              </w:rPr>
            </w:pPr>
            <w:r>
              <w:rPr>
                <w:rFonts w:hint="eastAsia"/>
                <w:color w:val="000000"/>
                <w:vertAlign w:val="baseline"/>
                <w:lang w:val="en-US" w:eastAsia="zh-CN"/>
              </w:rPr>
              <w:t>257-259</w:t>
            </w:r>
          </w:p>
        </w:tc>
        <w:tc>
          <w:tcPr>
            <w:tcW w:w="1318" w:type="dxa"/>
            <w:vAlign w:val="center"/>
          </w:tcPr>
          <w:p w14:paraId="1568ECDF">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5</w:t>
            </w:r>
          </w:p>
        </w:tc>
        <w:tc>
          <w:tcPr>
            <w:tcW w:w="1510" w:type="dxa"/>
            <w:vAlign w:val="center"/>
          </w:tcPr>
          <w:p w14:paraId="310DED76">
            <w:pPr>
              <w:jc w:val="center"/>
              <w:rPr>
                <w:rFonts w:hint="default"/>
                <w:b/>
                <w:bCs/>
                <w:vertAlign w:val="baseline"/>
                <w:lang w:val="en-US" w:eastAsia="zh-CN"/>
              </w:rPr>
            </w:pPr>
            <w:r>
              <w:rPr>
                <w:rFonts w:hint="eastAsia"/>
                <w:b/>
                <w:bCs/>
                <w:vertAlign w:val="baseline"/>
                <w:lang w:val="en-US" w:eastAsia="zh-CN"/>
              </w:rPr>
              <w:t>0</w:t>
            </w:r>
          </w:p>
        </w:tc>
      </w:tr>
      <w:tr w14:paraId="3E04A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6D5F656">
            <w:pPr>
              <w:jc w:val="left"/>
              <w:rPr>
                <w:rFonts w:hint="eastAsia"/>
                <w:b w:val="0"/>
                <w:bCs w:val="0"/>
                <w:color w:val="FF0000"/>
                <w:vertAlign w:val="baseline"/>
                <w:lang w:val="en-US" w:eastAsia="zh-CN"/>
              </w:rPr>
            </w:pPr>
          </w:p>
        </w:tc>
        <w:tc>
          <w:tcPr>
            <w:tcW w:w="9097" w:type="dxa"/>
            <w:vAlign w:val="center"/>
          </w:tcPr>
          <w:p w14:paraId="1F218AA8">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4.2022年，厅级，湖南开放大学（老年）合唱团选送作品《追寻》参加2022年《一路同心 文艺厦门》全国民族歌舞文艺汇演活动中获“特等奖”，指导老师，青春映夕阳中老年文活动组委会；</w:t>
            </w:r>
          </w:p>
        </w:tc>
        <w:tc>
          <w:tcPr>
            <w:tcW w:w="1511" w:type="dxa"/>
            <w:vAlign w:val="center"/>
          </w:tcPr>
          <w:p w14:paraId="6F6A7902">
            <w:pPr>
              <w:jc w:val="center"/>
              <w:rPr>
                <w:rFonts w:hint="eastAsia"/>
                <w:b/>
                <w:bCs/>
                <w:vertAlign w:val="baseline"/>
                <w:lang w:val="en-US" w:eastAsia="zh-CN"/>
              </w:rPr>
            </w:pPr>
            <w:r>
              <w:rPr>
                <w:rFonts w:hint="eastAsia"/>
                <w:color w:val="000000"/>
                <w:vertAlign w:val="baseline"/>
                <w:lang w:val="en-US" w:eastAsia="zh-CN"/>
              </w:rPr>
              <w:t>260-261</w:t>
            </w:r>
          </w:p>
        </w:tc>
        <w:tc>
          <w:tcPr>
            <w:tcW w:w="1318" w:type="dxa"/>
            <w:vAlign w:val="center"/>
          </w:tcPr>
          <w:p w14:paraId="7FE05B44">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2</w:t>
            </w:r>
          </w:p>
        </w:tc>
        <w:tc>
          <w:tcPr>
            <w:tcW w:w="1510" w:type="dxa"/>
            <w:vAlign w:val="center"/>
          </w:tcPr>
          <w:p w14:paraId="640DEA4E">
            <w:pPr>
              <w:jc w:val="center"/>
              <w:rPr>
                <w:rFonts w:hint="default"/>
                <w:b/>
                <w:bCs/>
                <w:vertAlign w:val="baseline"/>
                <w:lang w:val="en-US" w:eastAsia="zh-CN"/>
              </w:rPr>
            </w:pPr>
            <w:r>
              <w:rPr>
                <w:rFonts w:hint="eastAsia"/>
                <w:b/>
                <w:bCs/>
                <w:vertAlign w:val="baseline"/>
                <w:lang w:val="en-US" w:eastAsia="zh-CN"/>
              </w:rPr>
              <w:t>0</w:t>
            </w:r>
          </w:p>
        </w:tc>
      </w:tr>
      <w:tr w14:paraId="77F4C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D39533">
            <w:pPr>
              <w:jc w:val="left"/>
              <w:rPr>
                <w:rFonts w:hint="eastAsia"/>
                <w:b w:val="0"/>
                <w:bCs w:val="0"/>
                <w:color w:val="FF0000"/>
                <w:vertAlign w:val="baseline"/>
                <w:lang w:val="en-US" w:eastAsia="zh-CN"/>
              </w:rPr>
            </w:pPr>
          </w:p>
        </w:tc>
        <w:tc>
          <w:tcPr>
            <w:tcW w:w="9097" w:type="dxa"/>
            <w:vAlign w:val="center"/>
          </w:tcPr>
          <w:p w14:paraId="5D402AF1">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5.2022年，厅级，湖南开放大学（老年）合唱团选送作品《男子汉去飞行》参加2022年《一路同心 文艺厦门》全国民族歌舞文艺汇演活动中获“金奖”，指导老师，青春映夕阳中老年文活动组委会；</w:t>
            </w:r>
          </w:p>
        </w:tc>
        <w:tc>
          <w:tcPr>
            <w:tcW w:w="1511" w:type="dxa"/>
            <w:vAlign w:val="center"/>
          </w:tcPr>
          <w:p w14:paraId="3E1AE44B">
            <w:pPr>
              <w:jc w:val="center"/>
              <w:rPr>
                <w:rFonts w:hint="eastAsia"/>
                <w:b/>
                <w:bCs/>
                <w:vertAlign w:val="baseline"/>
                <w:lang w:val="en-US" w:eastAsia="zh-CN"/>
              </w:rPr>
            </w:pPr>
            <w:r>
              <w:rPr>
                <w:rFonts w:hint="eastAsia"/>
                <w:color w:val="000000"/>
                <w:vertAlign w:val="baseline"/>
                <w:lang w:val="en-US" w:eastAsia="zh-CN"/>
              </w:rPr>
              <w:t>262-263</w:t>
            </w:r>
          </w:p>
        </w:tc>
        <w:tc>
          <w:tcPr>
            <w:tcW w:w="1318" w:type="dxa"/>
            <w:vAlign w:val="center"/>
          </w:tcPr>
          <w:p w14:paraId="42032DF5">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2</w:t>
            </w:r>
          </w:p>
        </w:tc>
        <w:tc>
          <w:tcPr>
            <w:tcW w:w="1510" w:type="dxa"/>
            <w:vAlign w:val="center"/>
          </w:tcPr>
          <w:p w14:paraId="1615DEE5">
            <w:pPr>
              <w:jc w:val="center"/>
              <w:rPr>
                <w:rFonts w:hint="default"/>
                <w:b/>
                <w:bCs/>
                <w:vertAlign w:val="baseline"/>
                <w:lang w:val="en-US" w:eastAsia="zh-CN"/>
              </w:rPr>
            </w:pPr>
            <w:r>
              <w:rPr>
                <w:rFonts w:hint="eastAsia"/>
                <w:b/>
                <w:bCs/>
                <w:vertAlign w:val="baseline"/>
                <w:lang w:val="en-US" w:eastAsia="zh-CN"/>
              </w:rPr>
              <w:t>0</w:t>
            </w:r>
          </w:p>
        </w:tc>
      </w:tr>
      <w:tr w14:paraId="16009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FDA5E8">
            <w:pPr>
              <w:jc w:val="left"/>
              <w:rPr>
                <w:rFonts w:hint="eastAsia"/>
                <w:b w:val="0"/>
                <w:bCs w:val="0"/>
                <w:color w:val="FF0000"/>
                <w:vertAlign w:val="baseline"/>
                <w:lang w:val="en-US" w:eastAsia="zh-CN"/>
              </w:rPr>
            </w:pPr>
          </w:p>
        </w:tc>
        <w:tc>
          <w:tcPr>
            <w:tcW w:w="9097" w:type="dxa"/>
            <w:vAlign w:val="center"/>
          </w:tcPr>
          <w:p w14:paraId="660DDD68">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6.2022年，厅级，湖南开放大学（老年）合唱团选送作品《母亲的微笑》参加2022年《一路同心 文艺厦门》全国民族歌舞文艺汇演活动中获“最佳合唱奖”，指导老师，青春映夕阳中老年文活动组委会；</w:t>
            </w:r>
          </w:p>
        </w:tc>
        <w:tc>
          <w:tcPr>
            <w:tcW w:w="1511" w:type="dxa"/>
            <w:vAlign w:val="center"/>
          </w:tcPr>
          <w:p w14:paraId="0351193E">
            <w:pPr>
              <w:jc w:val="center"/>
              <w:rPr>
                <w:rFonts w:hint="eastAsia"/>
                <w:b/>
                <w:bCs/>
                <w:vertAlign w:val="baseline"/>
                <w:lang w:val="en-US" w:eastAsia="zh-CN"/>
              </w:rPr>
            </w:pPr>
            <w:r>
              <w:rPr>
                <w:rFonts w:hint="eastAsia"/>
                <w:color w:val="000000"/>
                <w:vertAlign w:val="baseline"/>
                <w:lang w:val="en-US" w:eastAsia="zh-CN"/>
              </w:rPr>
              <w:t>264-265</w:t>
            </w:r>
          </w:p>
        </w:tc>
        <w:tc>
          <w:tcPr>
            <w:tcW w:w="1318" w:type="dxa"/>
            <w:vAlign w:val="center"/>
          </w:tcPr>
          <w:p w14:paraId="49769235">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2</w:t>
            </w:r>
          </w:p>
        </w:tc>
        <w:tc>
          <w:tcPr>
            <w:tcW w:w="1510" w:type="dxa"/>
            <w:vAlign w:val="center"/>
          </w:tcPr>
          <w:p w14:paraId="1DA6BA93">
            <w:pPr>
              <w:jc w:val="center"/>
              <w:rPr>
                <w:rFonts w:hint="default"/>
                <w:b/>
                <w:bCs/>
                <w:vertAlign w:val="baseline"/>
                <w:lang w:val="en-US" w:eastAsia="zh-CN"/>
              </w:rPr>
            </w:pPr>
            <w:r>
              <w:rPr>
                <w:rFonts w:hint="eastAsia"/>
                <w:b/>
                <w:bCs/>
                <w:vertAlign w:val="baseline"/>
                <w:lang w:val="en-US" w:eastAsia="zh-CN"/>
              </w:rPr>
              <w:t>0</w:t>
            </w:r>
          </w:p>
        </w:tc>
      </w:tr>
      <w:tr w14:paraId="4755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056649">
            <w:pPr>
              <w:jc w:val="left"/>
              <w:rPr>
                <w:rFonts w:hint="eastAsia"/>
                <w:b w:val="0"/>
                <w:bCs w:val="0"/>
                <w:color w:val="FF0000"/>
                <w:vertAlign w:val="baseline"/>
                <w:lang w:val="en-US" w:eastAsia="zh-CN"/>
              </w:rPr>
            </w:pPr>
          </w:p>
        </w:tc>
        <w:tc>
          <w:tcPr>
            <w:tcW w:w="9097" w:type="dxa"/>
            <w:vAlign w:val="center"/>
          </w:tcPr>
          <w:p w14:paraId="0048F244">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color w:val="000000"/>
                <w:sz w:val="21"/>
                <w:szCs w:val="21"/>
                <w:lang w:val="en-US" w:eastAsia="zh-CN"/>
              </w:rPr>
              <w:t>7.2024年，厅级，湖南开放大学老年教育学院合唱作品《桃花红杏花白》《溜溜的情歌》在厦门文化艺术节大赛中获“特等奖”，指导老师，青春映夕阳中老年文活动组委会；</w:t>
            </w:r>
          </w:p>
        </w:tc>
        <w:tc>
          <w:tcPr>
            <w:tcW w:w="1511" w:type="dxa"/>
            <w:vAlign w:val="center"/>
          </w:tcPr>
          <w:p w14:paraId="12C92FF4">
            <w:pPr>
              <w:jc w:val="center"/>
              <w:rPr>
                <w:rFonts w:hint="eastAsia"/>
                <w:b/>
                <w:bCs/>
                <w:vertAlign w:val="baseline"/>
                <w:lang w:val="en-US" w:eastAsia="zh-CN"/>
              </w:rPr>
            </w:pPr>
            <w:r>
              <w:rPr>
                <w:rFonts w:hint="eastAsia"/>
                <w:color w:val="000000"/>
                <w:vertAlign w:val="baseline"/>
                <w:lang w:val="en-US" w:eastAsia="zh-CN"/>
              </w:rPr>
              <w:t>266-267</w:t>
            </w:r>
          </w:p>
        </w:tc>
        <w:tc>
          <w:tcPr>
            <w:tcW w:w="1318" w:type="dxa"/>
            <w:vAlign w:val="center"/>
          </w:tcPr>
          <w:p w14:paraId="1988399D">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2</w:t>
            </w:r>
          </w:p>
        </w:tc>
        <w:tc>
          <w:tcPr>
            <w:tcW w:w="1510" w:type="dxa"/>
            <w:vAlign w:val="center"/>
          </w:tcPr>
          <w:p w14:paraId="52361B8A">
            <w:pPr>
              <w:jc w:val="center"/>
              <w:rPr>
                <w:rFonts w:hint="default"/>
                <w:b/>
                <w:bCs/>
                <w:vertAlign w:val="baseline"/>
                <w:lang w:val="en-US" w:eastAsia="zh-CN"/>
              </w:rPr>
            </w:pPr>
            <w:r>
              <w:rPr>
                <w:rFonts w:hint="eastAsia"/>
                <w:b/>
                <w:bCs/>
                <w:vertAlign w:val="baseline"/>
                <w:lang w:val="en-US" w:eastAsia="zh-CN"/>
              </w:rPr>
              <w:t>0</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9097" w:type="dxa"/>
            <w:vAlign w:val="center"/>
          </w:tcPr>
          <w:p w14:paraId="3B3283D8">
            <w:pPr>
              <w:jc w:val="center"/>
              <w:rPr>
                <w:rFonts w:hint="default"/>
                <w:b w:val="0"/>
                <w:bCs w:val="0"/>
                <w:vertAlign w:val="baseline"/>
                <w:lang w:val="en-US" w:eastAsia="zh-CN"/>
              </w:rPr>
            </w:pPr>
            <w:r>
              <w:rPr>
                <w:rFonts w:hint="eastAsia"/>
                <w:b w:val="0"/>
                <w:bCs w:val="0"/>
                <w:vertAlign w:val="baseline"/>
                <w:lang w:val="en-US" w:eastAsia="zh-CN"/>
              </w:rPr>
              <w:t>《思想道德修养与法律基础》教案</w:t>
            </w:r>
          </w:p>
        </w:tc>
        <w:tc>
          <w:tcPr>
            <w:tcW w:w="1511" w:type="dxa"/>
            <w:vAlign w:val="center"/>
          </w:tcPr>
          <w:p w14:paraId="28BC031E">
            <w:pPr>
              <w:jc w:val="center"/>
              <w:rPr>
                <w:rFonts w:hint="default"/>
                <w:b w:val="0"/>
                <w:bCs w:val="0"/>
                <w:vertAlign w:val="baseline"/>
                <w:lang w:val="en-US" w:eastAsia="zh-CN"/>
              </w:rPr>
            </w:pPr>
            <w:r>
              <w:rPr>
                <w:rFonts w:hint="eastAsia"/>
                <w:b w:val="0"/>
                <w:bCs w:val="0"/>
                <w:vertAlign w:val="baseline"/>
                <w:lang w:val="en-US" w:eastAsia="zh-CN"/>
              </w:rPr>
              <w:t>单独装订</w:t>
            </w:r>
          </w:p>
        </w:tc>
        <w:tc>
          <w:tcPr>
            <w:tcW w:w="1318" w:type="dxa"/>
            <w:vAlign w:val="center"/>
          </w:tcPr>
          <w:p w14:paraId="3A46987A">
            <w:pPr>
              <w:jc w:val="center"/>
              <w:rPr>
                <w:rFonts w:hint="default"/>
                <w:b w:val="0"/>
                <w:bCs w:val="0"/>
                <w:vertAlign w:val="baseline"/>
                <w:lang w:val="en-US" w:eastAsia="zh-CN"/>
              </w:rPr>
            </w:pPr>
            <w:r>
              <w:rPr>
                <w:rFonts w:hint="eastAsia"/>
                <w:b w:val="0"/>
                <w:bCs w:val="0"/>
                <w:vertAlign w:val="baseline"/>
                <w:lang w:val="en-US" w:eastAsia="zh-CN"/>
              </w:rPr>
              <w:t>8</w:t>
            </w:r>
          </w:p>
        </w:tc>
        <w:tc>
          <w:tcPr>
            <w:tcW w:w="1510" w:type="dxa"/>
            <w:vAlign w:val="center"/>
          </w:tcPr>
          <w:p w14:paraId="24A86576">
            <w:pPr>
              <w:jc w:val="center"/>
              <w:rPr>
                <w:rFonts w:hint="default"/>
                <w:b/>
                <w:bCs/>
                <w:vertAlign w:val="baseline"/>
                <w:lang w:val="en-US" w:eastAsia="zh-CN"/>
              </w:rPr>
            </w:pPr>
            <w:r>
              <w:rPr>
                <w:rFonts w:hint="eastAsia"/>
                <w:b/>
                <w:bCs/>
                <w:vertAlign w:val="baseline"/>
                <w:lang w:val="en-US" w:eastAsia="zh-CN"/>
              </w:rPr>
              <w:t>5</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73ED1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2A88DCF">
            <w:pPr>
              <w:jc w:val="left"/>
              <w:rPr>
                <w:rFonts w:hint="eastAsia"/>
                <w:b/>
                <w:bCs/>
                <w:vertAlign w:val="baseline"/>
                <w:lang w:val="en-US" w:eastAsia="zh-CN"/>
              </w:rPr>
            </w:pPr>
          </w:p>
        </w:tc>
        <w:tc>
          <w:tcPr>
            <w:tcW w:w="9097" w:type="dxa"/>
            <w:vAlign w:val="center"/>
          </w:tcPr>
          <w:p w14:paraId="63D91CF9">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b w:val="0"/>
                <w:bCs w:val="0"/>
                <w:color w:val="000000"/>
                <w:sz w:val="21"/>
                <w:szCs w:val="21"/>
                <w:lang w:val="en-US" w:eastAsia="zh-CN"/>
              </w:rPr>
              <w:t>1.2019年，省级，湖南省老干部（老年）教育教师教学能力比赛暨教师信息化大赛一等奖，排名第一，湖南省委老干部局；</w:t>
            </w:r>
          </w:p>
        </w:tc>
        <w:tc>
          <w:tcPr>
            <w:tcW w:w="1511" w:type="dxa"/>
            <w:vAlign w:val="center"/>
          </w:tcPr>
          <w:p w14:paraId="0E2EC5CB">
            <w:pPr>
              <w:jc w:val="center"/>
              <w:rPr>
                <w:rFonts w:hint="eastAsia"/>
                <w:b/>
                <w:bCs/>
                <w:vertAlign w:val="baseline"/>
                <w:lang w:val="en-US" w:eastAsia="zh-CN"/>
              </w:rPr>
            </w:pPr>
            <w:r>
              <w:rPr>
                <w:rFonts w:hint="eastAsia"/>
                <w:color w:val="000000"/>
                <w:vertAlign w:val="baseline"/>
                <w:lang w:val="en-US" w:eastAsia="zh-CN"/>
              </w:rPr>
              <w:t>268</w:t>
            </w:r>
          </w:p>
        </w:tc>
        <w:tc>
          <w:tcPr>
            <w:tcW w:w="1318" w:type="dxa"/>
            <w:vAlign w:val="center"/>
          </w:tcPr>
          <w:p w14:paraId="6EF6496F">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6</w:t>
            </w:r>
          </w:p>
        </w:tc>
        <w:tc>
          <w:tcPr>
            <w:tcW w:w="1510" w:type="dxa"/>
            <w:vAlign w:val="center"/>
          </w:tcPr>
          <w:p w14:paraId="27712789">
            <w:pPr>
              <w:jc w:val="center"/>
              <w:rPr>
                <w:rFonts w:hint="default"/>
                <w:b/>
                <w:bCs/>
                <w:vertAlign w:val="baseline"/>
                <w:lang w:val="en-US" w:eastAsia="zh-CN"/>
              </w:rPr>
            </w:pPr>
            <w:r>
              <w:rPr>
                <w:rFonts w:hint="eastAsia"/>
                <w:b/>
                <w:bCs/>
                <w:vertAlign w:val="baseline"/>
                <w:lang w:val="en-US" w:eastAsia="zh-CN"/>
              </w:rPr>
              <w:t>6</w:t>
            </w:r>
          </w:p>
        </w:tc>
      </w:tr>
      <w:tr w14:paraId="0285D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220FED6">
            <w:pPr>
              <w:jc w:val="left"/>
              <w:rPr>
                <w:rFonts w:hint="eastAsia"/>
                <w:b/>
                <w:bCs/>
                <w:vertAlign w:val="baseline"/>
                <w:lang w:val="en-US" w:eastAsia="zh-CN"/>
              </w:rPr>
            </w:pPr>
          </w:p>
        </w:tc>
        <w:tc>
          <w:tcPr>
            <w:tcW w:w="9097" w:type="dxa"/>
            <w:vAlign w:val="center"/>
          </w:tcPr>
          <w:p w14:paraId="01947D14">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b w:val="0"/>
                <w:bCs w:val="0"/>
                <w:color w:val="000000"/>
                <w:sz w:val="21"/>
                <w:szCs w:val="21"/>
                <w:lang w:val="en-US" w:eastAsia="zh-CN"/>
              </w:rPr>
              <w:t>2.</w:t>
            </w:r>
            <w:r>
              <w:rPr>
                <w:rFonts w:hint="eastAsia" w:ascii="宋体" w:hAnsi="宋体"/>
                <w:color w:val="000000"/>
                <w:sz w:val="21"/>
                <w:szCs w:val="21"/>
                <w:lang w:val="en-US" w:eastAsia="zh-CN"/>
              </w:rPr>
              <w:t>2016年，校级，</w:t>
            </w:r>
            <w:r>
              <w:rPr>
                <w:rFonts w:hint="eastAsia" w:ascii="宋体" w:hAnsi="宋体"/>
                <w:b w:val="0"/>
                <w:bCs w:val="0"/>
                <w:color w:val="000000"/>
                <w:sz w:val="21"/>
                <w:szCs w:val="21"/>
                <w:lang w:val="en-US" w:eastAsia="zh-CN"/>
              </w:rPr>
              <w:t>湖南广播电视大学</w:t>
            </w:r>
            <w:r>
              <w:rPr>
                <w:rFonts w:hint="eastAsia" w:ascii="宋体" w:hAnsi="宋体"/>
                <w:color w:val="000000"/>
                <w:sz w:val="21"/>
                <w:szCs w:val="21"/>
                <w:lang w:val="en-US" w:eastAsia="zh-CN"/>
              </w:rPr>
              <w:t>公开课教学比武竞赛三等奖，排名第一，湖南广播电视大学；</w:t>
            </w:r>
          </w:p>
        </w:tc>
        <w:tc>
          <w:tcPr>
            <w:tcW w:w="1511" w:type="dxa"/>
            <w:vAlign w:val="center"/>
          </w:tcPr>
          <w:p w14:paraId="762DBDB3">
            <w:pPr>
              <w:jc w:val="center"/>
              <w:rPr>
                <w:rFonts w:hint="eastAsia"/>
                <w:b/>
                <w:bCs/>
                <w:vertAlign w:val="baseline"/>
                <w:lang w:val="en-US" w:eastAsia="zh-CN"/>
              </w:rPr>
            </w:pPr>
            <w:r>
              <w:rPr>
                <w:rFonts w:hint="eastAsia"/>
                <w:color w:val="000000"/>
                <w:vertAlign w:val="baseline"/>
                <w:lang w:val="en-US" w:eastAsia="zh-CN"/>
              </w:rPr>
              <w:t>269</w:t>
            </w:r>
          </w:p>
        </w:tc>
        <w:tc>
          <w:tcPr>
            <w:tcW w:w="1318" w:type="dxa"/>
            <w:vAlign w:val="center"/>
          </w:tcPr>
          <w:p w14:paraId="4A09AE49">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w:t>
            </w:r>
          </w:p>
        </w:tc>
        <w:tc>
          <w:tcPr>
            <w:tcW w:w="1510" w:type="dxa"/>
            <w:vAlign w:val="center"/>
          </w:tcPr>
          <w:p w14:paraId="3687D82F">
            <w:pPr>
              <w:jc w:val="center"/>
              <w:rPr>
                <w:rFonts w:hint="default"/>
                <w:b/>
                <w:bCs/>
                <w:vertAlign w:val="baseline"/>
                <w:lang w:val="en-US" w:eastAsia="zh-CN"/>
              </w:rPr>
            </w:pPr>
            <w:r>
              <w:rPr>
                <w:rFonts w:hint="eastAsia"/>
                <w:b/>
                <w:bCs/>
                <w:vertAlign w:val="baseline"/>
                <w:lang w:val="en-US" w:eastAsia="zh-CN"/>
              </w:rPr>
              <w:t>0</w:t>
            </w:r>
          </w:p>
        </w:tc>
      </w:tr>
      <w:tr w14:paraId="02BD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B238F14">
            <w:pPr>
              <w:jc w:val="left"/>
              <w:rPr>
                <w:rFonts w:hint="eastAsia"/>
                <w:b/>
                <w:bCs/>
                <w:vertAlign w:val="baseline"/>
                <w:lang w:val="en-US" w:eastAsia="zh-CN"/>
              </w:rPr>
            </w:pPr>
          </w:p>
        </w:tc>
        <w:tc>
          <w:tcPr>
            <w:tcW w:w="9097" w:type="dxa"/>
            <w:vAlign w:val="center"/>
          </w:tcPr>
          <w:p w14:paraId="57D95AF3">
            <w:pPr>
              <w:adjustRightInd w:val="0"/>
              <w:snapToGrid w:val="0"/>
              <w:jc w:val="both"/>
              <w:rPr>
                <w:rFonts w:hint="default"/>
                <w:b w:val="0"/>
                <w:bCs w:val="0"/>
                <w:color w:val="FF0000"/>
                <w:vertAlign w:val="baseline"/>
                <w:lang w:val="en-US" w:eastAsia="zh-CN"/>
              </w:rPr>
            </w:pPr>
            <w:r>
              <w:rPr>
                <w:rFonts w:hint="eastAsia" w:ascii="宋体" w:hAnsi="宋体"/>
                <w:sz w:val="21"/>
                <w:szCs w:val="21"/>
                <w:lang w:val="en-US" w:eastAsia="zh-CN"/>
              </w:rPr>
              <w:t>3.2019年，省级，全省离退休干部“礼赞新中国·奋进新时代”太极拳比赛中荣获“工作积极分子”，排名第一，湖南省委老干部局；</w:t>
            </w:r>
          </w:p>
        </w:tc>
        <w:tc>
          <w:tcPr>
            <w:tcW w:w="1511" w:type="dxa"/>
            <w:vAlign w:val="center"/>
          </w:tcPr>
          <w:p w14:paraId="0024C419">
            <w:pPr>
              <w:jc w:val="center"/>
              <w:rPr>
                <w:rFonts w:hint="eastAsia"/>
                <w:b/>
                <w:bCs/>
                <w:vertAlign w:val="baseline"/>
                <w:lang w:val="en-US" w:eastAsia="zh-CN"/>
              </w:rPr>
            </w:pPr>
            <w:r>
              <w:rPr>
                <w:rFonts w:hint="eastAsia"/>
                <w:color w:val="000000"/>
                <w:vertAlign w:val="baseline"/>
                <w:lang w:val="en-US" w:eastAsia="zh-CN"/>
              </w:rPr>
              <w:t>270</w:t>
            </w:r>
          </w:p>
        </w:tc>
        <w:tc>
          <w:tcPr>
            <w:tcW w:w="1318" w:type="dxa"/>
            <w:vAlign w:val="center"/>
          </w:tcPr>
          <w:p w14:paraId="372EBD67">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w:t>
            </w:r>
          </w:p>
        </w:tc>
        <w:tc>
          <w:tcPr>
            <w:tcW w:w="1510" w:type="dxa"/>
            <w:vAlign w:val="center"/>
          </w:tcPr>
          <w:p w14:paraId="2E156A08">
            <w:pPr>
              <w:jc w:val="center"/>
              <w:rPr>
                <w:rFonts w:hint="default"/>
                <w:b/>
                <w:bCs/>
                <w:vertAlign w:val="baseline"/>
                <w:lang w:val="en-US" w:eastAsia="zh-CN"/>
              </w:rPr>
            </w:pPr>
            <w:r>
              <w:rPr>
                <w:rFonts w:hint="eastAsia"/>
                <w:b/>
                <w:bCs/>
                <w:vertAlign w:val="baseline"/>
                <w:lang w:val="en-US" w:eastAsia="zh-CN"/>
              </w:rPr>
              <w:t>0</w:t>
            </w:r>
          </w:p>
        </w:tc>
      </w:tr>
      <w:tr w14:paraId="17CD8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55793E">
            <w:pPr>
              <w:jc w:val="left"/>
              <w:rPr>
                <w:rFonts w:hint="eastAsia"/>
                <w:b/>
                <w:bCs/>
                <w:vertAlign w:val="baseline"/>
                <w:lang w:val="en-US" w:eastAsia="zh-CN"/>
              </w:rPr>
            </w:pPr>
          </w:p>
        </w:tc>
        <w:tc>
          <w:tcPr>
            <w:tcW w:w="9097" w:type="dxa"/>
            <w:vAlign w:val="center"/>
          </w:tcPr>
          <w:p w14:paraId="7D39E1DF">
            <w:pPr>
              <w:adjustRightInd w:val="0"/>
              <w:snapToGrid w:val="0"/>
              <w:jc w:val="both"/>
              <w:rPr>
                <w:rFonts w:hint="eastAsia"/>
                <w:b w:val="0"/>
                <w:bCs w:val="0"/>
                <w:color w:val="FF0000"/>
                <w:vertAlign w:val="baseline"/>
                <w:lang w:val="en-US" w:eastAsia="zh-CN"/>
              </w:rPr>
            </w:pPr>
            <w:r>
              <w:rPr>
                <w:rFonts w:hint="eastAsia" w:ascii="宋体" w:hAnsi="宋体"/>
                <w:sz w:val="21"/>
                <w:szCs w:val="21"/>
                <w:lang w:val="en-US" w:eastAsia="zh-CN"/>
              </w:rPr>
              <w:t>4.2018年，省级，全省离退休干部“走进新时代·共筑中国梦”广场舞比赛中”荣获“先进个人，排名第一，湖南省委老干部局；</w:t>
            </w:r>
          </w:p>
        </w:tc>
        <w:tc>
          <w:tcPr>
            <w:tcW w:w="1511" w:type="dxa"/>
            <w:vAlign w:val="center"/>
          </w:tcPr>
          <w:p w14:paraId="02616C32">
            <w:pPr>
              <w:jc w:val="center"/>
              <w:rPr>
                <w:rFonts w:hint="eastAsia"/>
                <w:b/>
                <w:bCs/>
                <w:vertAlign w:val="baseline"/>
                <w:lang w:val="en-US" w:eastAsia="zh-CN"/>
              </w:rPr>
            </w:pPr>
            <w:r>
              <w:rPr>
                <w:rFonts w:hint="eastAsia"/>
                <w:color w:val="000000"/>
                <w:vertAlign w:val="baseline"/>
                <w:lang w:val="en-US" w:eastAsia="zh-CN"/>
              </w:rPr>
              <w:t>271</w:t>
            </w:r>
          </w:p>
        </w:tc>
        <w:tc>
          <w:tcPr>
            <w:tcW w:w="1318" w:type="dxa"/>
            <w:vAlign w:val="center"/>
          </w:tcPr>
          <w:p w14:paraId="53A809E4">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w:t>
            </w:r>
          </w:p>
        </w:tc>
        <w:tc>
          <w:tcPr>
            <w:tcW w:w="1510" w:type="dxa"/>
            <w:vAlign w:val="center"/>
          </w:tcPr>
          <w:p w14:paraId="0164C4E5">
            <w:pPr>
              <w:jc w:val="center"/>
              <w:rPr>
                <w:rFonts w:hint="default"/>
                <w:b/>
                <w:bCs/>
                <w:vertAlign w:val="baseline"/>
                <w:lang w:val="en-US" w:eastAsia="zh-CN"/>
              </w:rPr>
            </w:pPr>
            <w:r>
              <w:rPr>
                <w:rFonts w:hint="eastAsia"/>
                <w:b/>
                <w:bCs/>
                <w:vertAlign w:val="baseline"/>
                <w:lang w:val="en-US" w:eastAsia="zh-CN"/>
              </w:rPr>
              <w:t>0</w:t>
            </w:r>
          </w:p>
        </w:tc>
      </w:tr>
      <w:tr w14:paraId="0CB45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4F91CE5">
            <w:pPr>
              <w:jc w:val="left"/>
              <w:rPr>
                <w:rFonts w:hint="eastAsia"/>
                <w:b/>
                <w:bCs/>
                <w:vertAlign w:val="baseline"/>
                <w:lang w:val="en-US" w:eastAsia="zh-CN"/>
              </w:rPr>
            </w:pPr>
          </w:p>
        </w:tc>
        <w:tc>
          <w:tcPr>
            <w:tcW w:w="9097" w:type="dxa"/>
            <w:vAlign w:val="center"/>
          </w:tcPr>
          <w:p w14:paraId="6B648F76">
            <w:pPr>
              <w:adjustRightInd w:val="0"/>
              <w:snapToGrid w:val="0"/>
              <w:jc w:val="both"/>
              <w:rPr>
                <w:rFonts w:hint="eastAsia"/>
                <w:b w:val="0"/>
                <w:bCs w:val="0"/>
                <w:color w:val="FF0000"/>
                <w:vertAlign w:val="baseline"/>
                <w:lang w:val="en-US" w:eastAsia="zh-CN"/>
              </w:rPr>
            </w:pPr>
            <w:r>
              <w:rPr>
                <w:rFonts w:hint="eastAsia" w:ascii="宋体" w:hAnsi="宋体"/>
                <w:sz w:val="21"/>
                <w:szCs w:val="21"/>
                <w:lang w:val="en-US" w:eastAsia="zh-CN"/>
              </w:rPr>
              <w:t>5.2017年，省级，全省离退休颁布“喜迎十九大·颂歌献给党”合唱比赛中荣获“先进工作者，排名第一，湖南省委老干部局；</w:t>
            </w:r>
          </w:p>
        </w:tc>
        <w:tc>
          <w:tcPr>
            <w:tcW w:w="1511" w:type="dxa"/>
            <w:vAlign w:val="center"/>
          </w:tcPr>
          <w:p w14:paraId="08950026">
            <w:pPr>
              <w:jc w:val="center"/>
              <w:rPr>
                <w:rFonts w:hint="eastAsia"/>
                <w:b/>
                <w:bCs/>
                <w:vertAlign w:val="baseline"/>
                <w:lang w:val="en-US" w:eastAsia="zh-CN"/>
              </w:rPr>
            </w:pPr>
            <w:r>
              <w:rPr>
                <w:rFonts w:hint="eastAsia"/>
                <w:color w:val="000000"/>
                <w:vertAlign w:val="baseline"/>
                <w:lang w:val="en-US" w:eastAsia="zh-CN"/>
              </w:rPr>
              <w:t>272</w:t>
            </w:r>
          </w:p>
        </w:tc>
        <w:tc>
          <w:tcPr>
            <w:tcW w:w="1318" w:type="dxa"/>
            <w:vAlign w:val="center"/>
          </w:tcPr>
          <w:p w14:paraId="528727D4">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w:t>
            </w:r>
          </w:p>
        </w:tc>
        <w:tc>
          <w:tcPr>
            <w:tcW w:w="1510" w:type="dxa"/>
            <w:vAlign w:val="center"/>
          </w:tcPr>
          <w:p w14:paraId="23BB8EF6">
            <w:pPr>
              <w:jc w:val="center"/>
              <w:rPr>
                <w:rFonts w:hint="default"/>
                <w:b/>
                <w:bCs/>
                <w:vertAlign w:val="baseline"/>
                <w:lang w:val="en-US" w:eastAsia="zh-CN"/>
              </w:rPr>
            </w:pPr>
            <w:r>
              <w:rPr>
                <w:rFonts w:hint="eastAsia"/>
                <w:b/>
                <w:bCs/>
                <w:vertAlign w:val="baseline"/>
                <w:lang w:val="en-US" w:eastAsia="zh-CN"/>
              </w:rPr>
              <w:t>0</w:t>
            </w:r>
          </w:p>
        </w:tc>
      </w:tr>
      <w:tr w14:paraId="3E72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5FA608">
            <w:pPr>
              <w:jc w:val="left"/>
              <w:rPr>
                <w:rFonts w:hint="eastAsia"/>
                <w:b/>
                <w:bCs/>
                <w:vertAlign w:val="baseline"/>
                <w:lang w:val="en-US" w:eastAsia="zh-CN"/>
              </w:rPr>
            </w:pPr>
          </w:p>
        </w:tc>
        <w:tc>
          <w:tcPr>
            <w:tcW w:w="9097" w:type="dxa"/>
            <w:vAlign w:val="center"/>
          </w:tcPr>
          <w:p w14:paraId="14BFBBED">
            <w:pPr>
              <w:adjustRightInd w:val="0"/>
              <w:snapToGrid w:val="0"/>
              <w:jc w:val="both"/>
              <w:rPr>
                <w:rFonts w:hint="default"/>
                <w:b w:val="0"/>
                <w:bCs w:val="0"/>
                <w:color w:val="FF0000"/>
                <w:vertAlign w:val="baseline"/>
                <w:lang w:val="en-US" w:eastAsia="zh-CN"/>
              </w:rPr>
            </w:pPr>
            <w:r>
              <w:rPr>
                <w:rFonts w:hint="eastAsia" w:ascii="宋体" w:hAnsi="宋体"/>
                <w:sz w:val="21"/>
                <w:szCs w:val="21"/>
                <w:lang w:val="en-US" w:eastAsia="zh-CN"/>
              </w:rPr>
              <w:t>6.2018年，校级，思想政治理论课研究性学习成果展示竞赛活动中被评为“优秀指导老师”，</w:t>
            </w:r>
            <w:r>
              <w:rPr>
                <w:rFonts w:hint="eastAsia" w:ascii="宋体" w:hAnsi="宋体"/>
                <w:b w:val="0"/>
                <w:bCs w:val="0"/>
                <w:sz w:val="21"/>
                <w:szCs w:val="21"/>
                <w:lang w:val="en-US" w:eastAsia="zh-CN"/>
              </w:rPr>
              <w:t>湖南网络工程职业学院；</w:t>
            </w:r>
          </w:p>
        </w:tc>
        <w:tc>
          <w:tcPr>
            <w:tcW w:w="1511" w:type="dxa"/>
            <w:vAlign w:val="center"/>
          </w:tcPr>
          <w:p w14:paraId="7335A2C4">
            <w:pPr>
              <w:jc w:val="center"/>
              <w:rPr>
                <w:rFonts w:hint="eastAsia"/>
                <w:b/>
                <w:bCs/>
                <w:vertAlign w:val="baseline"/>
                <w:lang w:val="en-US" w:eastAsia="zh-CN"/>
              </w:rPr>
            </w:pPr>
            <w:r>
              <w:rPr>
                <w:rFonts w:hint="eastAsia"/>
                <w:color w:val="000000"/>
                <w:vertAlign w:val="baseline"/>
                <w:lang w:val="en-US" w:eastAsia="zh-CN"/>
              </w:rPr>
              <w:t>273</w:t>
            </w:r>
          </w:p>
        </w:tc>
        <w:tc>
          <w:tcPr>
            <w:tcW w:w="1318" w:type="dxa"/>
            <w:vAlign w:val="center"/>
          </w:tcPr>
          <w:p w14:paraId="49DEE591">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w:t>
            </w:r>
          </w:p>
        </w:tc>
        <w:tc>
          <w:tcPr>
            <w:tcW w:w="1510" w:type="dxa"/>
            <w:vAlign w:val="center"/>
          </w:tcPr>
          <w:p w14:paraId="515A4643">
            <w:pPr>
              <w:jc w:val="center"/>
              <w:rPr>
                <w:rFonts w:hint="default"/>
                <w:b/>
                <w:bCs/>
                <w:vertAlign w:val="baseline"/>
                <w:lang w:val="en-US" w:eastAsia="zh-CN"/>
              </w:rPr>
            </w:pPr>
            <w:r>
              <w:rPr>
                <w:rFonts w:hint="eastAsia"/>
                <w:b/>
                <w:bCs/>
                <w:vertAlign w:val="baseline"/>
                <w:lang w:val="en-US" w:eastAsia="zh-CN"/>
              </w:rPr>
              <w:t>0</w:t>
            </w:r>
          </w:p>
        </w:tc>
      </w:tr>
      <w:tr w14:paraId="34FD9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2849E8">
            <w:pPr>
              <w:jc w:val="left"/>
              <w:rPr>
                <w:rFonts w:hint="eastAsia"/>
                <w:b/>
                <w:bCs/>
                <w:vertAlign w:val="baseline"/>
                <w:lang w:val="en-US" w:eastAsia="zh-CN"/>
              </w:rPr>
            </w:pPr>
          </w:p>
        </w:tc>
        <w:tc>
          <w:tcPr>
            <w:tcW w:w="9097" w:type="dxa"/>
            <w:vAlign w:val="center"/>
          </w:tcPr>
          <w:p w14:paraId="750DE931">
            <w:pPr>
              <w:adjustRightInd w:val="0"/>
              <w:snapToGrid w:val="0"/>
              <w:jc w:val="both"/>
              <w:rPr>
                <w:rFonts w:hint="eastAsia"/>
                <w:b w:val="0"/>
                <w:bCs w:val="0"/>
                <w:color w:val="FF0000"/>
                <w:vertAlign w:val="baseline"/>
                <w:lang w:val="en-US" w:eastAsia="zh-CN"/>
              </w:rPr>
            </w:pPr>
            <w:r>
              <w:rPr>
                <w:rFonts w:hint="eastAsia" w:ascii="宋体" w:hAnsi="宋体"/>
                <w:sz w:val="21"/>
                <w:szCs w:val="21"/>
                <w:lang w:val="en-US" w:eastAsia="zh-CN"/>
              </w:rPr>
              <w:t>7.2017年，校级，思想政治理论课研究性学习成果展示竞赛活动中被评为“优秀指导老师”，</w:t>
            </w:r>
            <w:r>
              <w:rPr>
                <w:rFonts w:hint="eastAsia" w:ascii="宋体" w:hAnsi="宋体"/>
                <w:b w:val="0"/>
                <w:bCs w:val="0"/>
                <w:sz w:val="21"/>
                <w:szCs w:val="21"/>
                <w:lang w:val="en-US" w:eastAsia="zh-CN"/>
              </w:rPr>
              <w:t>湖南网络工程职业学院；</w:t>
            </w:r>
          </w:p>
        </w:tc>
        <w:tc>
          <w:tcPr>
            <w:tcW w:w="1511" w:type="dxa"/>
            <w:vAlign w:val="center"/>
          </w:tcPr>
          <w:p w14:paraId="6AB2B8F1">
            <w:pPr>
              <w:jc w:val="center"/>
              <w:rPr>
                <w:rFonts w:hint="eastAsia"/>
                <w:b/>
                <w:bCs/>
                <w:vertAlign w:val="baseline"/>
                <w:lang w:val="en-US" w:eastAsia="zh-CN"/>
              </w:rPr>
            </w:pPr>
            <w:r>
              <w:rPr>
                <w:rFonts w:hint="eastAsia"/>
                <w:color w:val="000000"/>
                <w:vertAlign w:val="baseline"/>
                <w:lang w:val="en-US" w:eastAsia="zh-CN"/>
              </w:rPr>
              <w:t>274</w:t>
            </w:r>
          </w:p>
        </w:tc>
        <w:tc>
          <w:tcPr>
            <w:tcW w:w="1318" w:type="dxa"/>
            <w:vAlign w:val="center"/>
          </w:tcPr>
          <w:p w14:paraId="09DA31C3">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w:t>
            </w:r>
          </w:p>
        </w:tc>
        <w:tc>
          <w:tcPr>
            <w:tcW w:w="1510" w:type="dxa"/>
            <w:vAlign w:val="center"/>
          </w:tcPr>
          <w:p w14:paraId="7060CE1C">
            <w:pPr>
              <w:jc w:val="center"/>
              <w:rPr>
                <w:rFonts w:hint="default"/>
                <w:b/>
                <w:bCs/>
                <w:vertAlign w:val="baseline"/>
                <w:lang w:val="en-US" w:eastAsia="zh-CN"/>
              </w:rPr>
            </w:pPr>
            <w:r>
              <w:rPr>
                <w:rFonts w:hint="eastAsia"/>
                <w:b/>
                <w:bCs/>
                <w:vertAlign w:val="baseline"/>
                <w:lang w:val="en-US" w:eastAsia="zh-CN"/>
              </w:rPr>
              <w:t>0</w:t>
            </w:r>
          </w:p>
        </w:tc>
      </w:tr>
      <w:tr w14:paraId="2FD52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1743D13">
            <w:pPr>
              <w:jc w:val="left"/>
              <w:rPr>
                <w:rFonts w:hint="eastAsia"/>
                <w:b/>
                <w:bCs/>
                <w:vertAlign w:val="baseline"/>
                <w:lang w:val="en-US" w:eastAsia="zh-CN"/>
              </w:rPr>
            </w:pPr>
          </w:p>
        </w:tc>
        <w:tc>
          <w:tcPr>
            <w:tcW w:w="9097" w:type="dxa"/>
            <w:vAlign w:val="center"/>
          </w:tcPr>
          <w:p w14:paraId="024CB5AA">
            <w:pPr>
              <w:adjustRightInd w:val="0"/>
              <w:snapToGrid w:val="0"/>
              <w:jc w:val="both"/>
              <w:rPr>
                <w:rFonts w:hint="eastAsia"/>
                <w:b w:val="0"/>
                <w:bCs w:val="0"/>
                <w:color w:val="FF0000"/>
                <w:vertAlign w:val="baseline"/>
                <w:lang w:val="en-US" w:eastAsia="zh-CN"/>
              </w:rPr>
            </w:pPr>
            <w:r>
              <w:rPr>
                <w:rFonts w:hint="eastAsia" w:ascii="宋体" w:hAnsi="宋体"/>
                <w:sz w:val="21"/>
                <w:szCs w:val="21"/>
                <w:lang w:val="en-US" w:eastAsia="zh-CN"/>
              </w:rPr>
              <w:t>8.2016年，校级，思想政治理论课研究性学习成果展示竞赛活动中被评为“优秀指导老师”，</w:t>
            </w:r>
            <w:r>
              <w:rPr>
                <w:rFonts w:hint="eastAsia" w:ascii="宋体" w:hAnsi="宋体"/>
                <w:b w:val="0"/>
                <w:bCs w:val="0"/>
                <w:sz w:val="21"/>
                <w:szCs w:val="21"/>
                <w:lang w:val="en-US" w:eastAsia="zh-CN"/>
              </w:rPr>
              <w:t>湖南网络工程职业学院；</w:t>
            </w:r>
          </w:p>
        </w:tc>
        <w:tc>
          <w:tcPr>
            <w:tcW w:w="1511" w:type="dxa"/>
            <w:vAlign w:val="center"/>
          </w:tcPr>
          <w:p w14:paraId="3DFCE777">
            <w:pPr>
              <w:jc w:val="center"/>
              <w:rPr>
                <w:rFonts w:hint="eastAsia"/>
                <w:b/>
                <w:bCs/>
                <w:vertAlign w:val="baseline"/>
                <w:lang w:val="en-US" w:eastAsia="zh-CN"/>
              </w:rPr>
            </w:pPr>
            <w:r>
              <w:rPr>
                <w:rFonts w:hint="eastAsia"/>
                <w:color w:val="000000"/>
                <w:vertAlign w:val="baseline"/>
                <w:lang w:val="en-US" w:eastAsia="zh-CN"/>
              </w:rPr>
              <w:t>275</w:t>
            </w:r>
          </w:p>
        </w:tc>
        <w:tc>
          <w:tcPr>
            <w:tcW w:w="1318" w:type="dxa"/>
            <w:vAlign w:val="center"/>
          </w:tcPr>
          <w:p w14:paraId="2BAB0FA6">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w:t>
            </w:r>
          </w:p>
        </w:tc>
        <w:tc>
          <w:tcPr>
            <w:tcW w:w="1510" w:type="dxa"/>
            <w:vAlign w:val="center"/>
          </w:tcPr>
          <w:p w14:paraId="20A8CCE0">
            <w:pPr>
              <w:jc w:val="center"/>
              <w:rPr>
                <w:rFonts w:hint="default"/>
                <w:b/>
                <w:bCs/>
                <w:vertAlign w:val="baseline"/>
                <w:lang w:val="en-US" w:eastAsia="zh-CN"/>
              </w:rPr>
            </w:pPr>
            <w:r>
              <w:rPr>
                <w:rFonts w:hint="eastAsia"/>
                <w:b/>
                <w:bCs/>
                <w:vertAlign w:val="baseline"/>
                <w:lang w:val="en-US" w:eastAsia="zh-CN"/>
              </w:rPr>
              <w:t>0</w:t>
            </w:r>
          </w:p>
        </w:tc>
      </w:tr>
      <w:tr w14:paraId="4FE5B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7AEF3F">
            <w:pPr>
              <w:jc w:val="left"/>
              <w:rPr>
                <w:rFonts w:hint="eastAsia"/>
                <w:b/>
                <w:bCs/>
                <w:vertAlign w:val="baseline"/>
                <w:lang w:val="en-US" w:eastAsia="zh-CN"/>
              </w:rPr>
            </w:pPr>
          </w:p>
        </w:tc>
        <w:tc>
          <w:tcPr>
            <w:tcW w:w="9097" w:type="dxa"/>
            <w:vAlign w:val="center"/>
          </w:tcPr>
          <w:p w14:paraId="16F20D0F">
            <w:pPr>
              <w:numPr>
                <w:ilvl w:val="0"/>
                <w:numId w:val="0"/>
              </w:numPr>
              <w:adjustRightInd w:val="0"/>
              <w:snapToGrid w:val="0"/>
              <w:ind w:left="0" w:leftChars="0" w:firstLine="0" w:firstLineChars="0"/>
              <w:jc w:val="both"/>
              <w:rPr>
                <w:rFonts w:hint="eastAsia"/>
                <w:b w:val="0"/>
                <w:bCs w:val="0"/>
                <w:color w:val="FF0000"/>
                <w:vertAlign w:val="baseline"/>
                <w:lang w:val="en-US" w:eastAsia="zh-CN"/>
              </w:rPr>
            </w:pPr>
            <w:r>
              <w:rPr>
                <w:rFonts w:hint="eastAsia" w:ascii="宋体" w:hAnsi="宋体"/>
                <w:sz w:val="21"/>
                <w:szCs w:val="21"/>
                <w:lang w:val="en-US" w:eastAsia="zh-CN"/>
              </w:rPr>
              <w:t>9.</w:t>
            </w:r>
            <w:r>
              <w:rPr>
                <w:rFonts w:hint="default" w:ascii="宋体" w:hAnsi="宋体"/>
                <w:sz w:val="21"/>
                <w:szCs w:val="21"/>
                <w:lang w:val="en-US" w:eastAsia="zh-CN"/>
              </w:rPr>
              <w:t>2022</w:t>
            </w:r>
            <w:r>
              <w:rPr>
                <w:rFonts w:hint="eastAsia" w:ascii="宋体" w:hAnsi="宋体"/>
                <w:sz w:val="21"/>
                <w:szCs w:val="21"/>
                <w:lang w:val="en-US" w:eastAsia="zh-CN"/>
              </w:rPr>
              <w:t>年，国家级，全国老年教育教学成果展暨全国老年教育短视频征集和展示活动中，荣获优秀指导教师奖</w:t>
            </w:r>
            <w:r>
              <w:rPr>
                <w:rFonts w:hint="eastAsia" w:ascii="宋体" w:hAnsi="宋体"/>
                <w:b w:val="0"/>
                <w:bCs w:val="0"/>
                <w:sz w:val="21"/>
                <w:szCs w:val="21"/>
                <w:lang w:val="en-US" w:eastAsia="zh-CN"/>
              </w:rPr>
              <w:t>，国家开放大学</w:t>
            </w:r>
            <w:r>
              <w:rPr>
                <w:rFonts w:hint="eastAsia" w:ascii="宋体" w:hAnsi="宋体"/>
                <w:b/>
                <w:bCs/>
                <w:sz w:val="21"/>
                <w:szCs w:val="21"/>
                <w:lang w:val="en-US" w:eastAsia="zh-CN"/>
              </w:rPr>
              <w:t>；</w:t>
            </w:r>
          </w:p>
        </w:tc>
        <w:tc>
          <w:tcPr>
            <w:tcW w:w="1511" w:type="dxa"/>
            <w:vAlign w:val="center"/>
          </w:tcPr>
          <w:p w14:paraId="186EC482">
            <w:pPr>
              <w:jc w:val="center"/>
              <w:rPr>
                <w:rFonts w:hint="eastAsia"/>
                <w:b/>
                <w:bCs/>
                <w:vertAlign w:val="baseline"/>
                <w:lang w:val="en-US" w:eastAsia="zh-CN"/>
              </w:rPr>
            </w:pPr>
            <w:r>
              <w:rPr>
                <w:rFonts w:hint="eastAsia"/>
                <w:color w:val="000000"/>
                <w:vertAlign w:val="baseline"/>
                <w:lang w:val="en-US" w:eastAsia="zh-CN"/>
              </w:rPr>
              <w:t>276</w:t>
            </w:r>
          </w:p>
        </w:tc>
        <w:tc>
          <w:tcPr>
            <w:tcW w:w="1318" w:type="dxa"/>
            <w:vAlign w:val="center"/>
          </w:tcPr>
          <w:p w14:paraId="143FAC65">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2</w:t>
            </w:r>
          </w:p>
        </w:tc>
        <w:tc>
          <w:tcPr>
            <w:tcW w:w="1510" w:type="dxa"/>
            <w:vAlign w:val="center"/>
          </w:tcPr>
          <w:p w14:paraId="28AF4BF6">
            <w:pPr>
              <w:jc w:val="center"/>
              <w:rPr>
                <w:rFonts w:hint="default"/>
                <w:b/>
                <w:bCs/>
                <w:vertAlign w:val="baseline"/>
                <w:lang w:val="en-US" w:eastAsia="zh-CN"/>
              </w:rPr>
            </w:pPr>
            <w:r>
              <w:rPr>
                <w:rFonts w:hint="eastAsia"/>
                <w:b/>
                <w:bCs/>
                <w:vertAlign w:val="baseline"/>
                <w:lang w:val="en-US" w:eastAsia="zh-CN"/>
              </w:rPr>
              <w:t>2</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6-10</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48051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E29E88">
            <w:pPr>
              <w:jc w:val="center"/>
              <w:rPr>
                <w:rFonts w:hint="eastAsia"/>
                <w:b/>
                <w:bCs/>
                <w:vertAlign w:val="baseline"/>
                <w:lang w:val="en-US" w:eastAsia="zh-CN"/>
              </w:rPr>
            </w:pPr>
          </w:p>
        </w:tc>
        <w:tc>
          <w:tcPr>
            <w:tcW w:w="9097" w:type="dxa"/>
            <w:vAlign w:val="center"/>
          </w:tcPr>
          <w:p w14:paraId="790D53C2">
            <w:pPr>
              <w:adjustRightInd w:val="0"/>
              <w:snapToGrid w:val="0"/>
              <w:jc w:val="left"/>
              <w:rPr>
                <w:rFonts w:hint="default"/>
                <w:b w:val="0"/>
                <w:bCs w:val="0"/>
                <w:color w:val="FF0000"/>
                <w:vertAlign w:val="baseline"/>
                <w:lang w:val="en-US" w:eastAsia="zh-CN"/>
              </w:rPr>
            </w:pPr>
            <w:r>
              <w:rPr>
                <w:rFonts w:hint="eastAsia" w:ascii="宋体" w:hAnsi="宋体" w:eastAsia="宋体"/>
                <w:b w:val="0"/>
                <w:bCs/>
                <w:sz w:val="20"/>
                <w:szCs w:val="20"/>
                <w:lang w:val="en-US" w:eastAsia="zh-CN"/>
              </w:rPr>
              <w:t>1.湖南省全民数字数养与技能培训基地，2024年立项，</w:t>
            </w:r>
            <w:r>
              <w:rPr>
                <w:rFonts w:hint="eastAsia" w:ascii="宋体" w:hAnsi="宋体"/>
                <w:color w:val="000000"/>
                <w:sz w:val="21"/>
                <w:szCs w:val="21"/>
                <w:lang w:val="en-US" w:eastAsia="zh-CN"/>
              </w:rPr>
              <w:t>中共湖南省委网络安全和信息化委员会办公室等13个部门；</w:t>
            </w:r>
            <w:r>
              <w:rPr>
                <w:rFonts w:hint="eastAsia" w:ascii="宋体" w:hAnsi="宋体" w:eastAsia="宋体"/>
                <w:b w:val="0"/>
                <w:bCs/>
                <w:sz w:val="20"/>
                <w:szCs w:val="20"/>
                <w:lang w:val="en-US" w:eastAsia="zh-CN"/>
              </w:rPr>
              <w:t>获批省级数字学习基地依托基地开展提升全民数字数养教育教学活动，湘网办发（2024）11号，排名第一，完成；</w:t>
            </w:r>
          </w:p>
        </w:tc>
        <w:tc>
          <w:tcPr>
            <w:tcW w:w="1511" w:type="dxa"/>
            <w:vAlign w:val="center"/>
          </w:tcPr>
          <w:p w14:paraId="5BD1395E">
            <w:pPr>
              <w:jc w:val="center"/>
              <w:rPr>
                <w:vertAlign w:val="baseline"/>
              </w:rPr>
            </w:pPr>
            <w:r>
              <w:rPr>
                <w:rFonts w:hint="eastAsia"/>
                <w:color w:val="000000"/>
                <w:vertAlign w:val="baseline"/>
                <w:lang w:val="en-US" w:eastAsia="zh-CN"/>
              </w:rPr>
              <w:t>288-311</w:t>
            </w:r>
          </w:p>
        </w:tc>
        <w:tc>
          <w:tcPr>
            <w:tcW w:w="1318" w:type="dxa"/>
            <w:vAlign w:val="center"/>
          </w:tcPr>
          <w:p w14:paraId="76506F92">
            <w:pPr>
              <w:jc w:val="center"/>
              <w:rPr>
                <w:rFonts w:ascii="Arial Rounded MT Bold" w:hAnsi="Arial Rounded MT Bold" w:eastAsiaTheme="minorEastAsia" w:cstheme="minorBidi"/>
                <w:kern w:val="2"/>
                <w:sz w:val="21"/>
                <w:szCs w:val="24"/>
                <w:vertAlign w:val="baseline"/>
                <w:lang w:val="en-US" w:eastAsia="zh-CN" w:bidi="ar-SA"/>
              </w:rPr>
            </w:pPr>
            <w:r>
              <w:rPr>
                <w:rFonts w:hint="eastAsia" w:cstheme="minorBidi"/>
                <w:color w:val="000000"/>
                <w:kern w:val="2"/>
                <w:sz w:val="21"/>
                <w:szCs w:val="24"/>
                <w:vertAlign w:val="baseline"/>
                <w:lang w:val="en-US" w:eastAsia="zh-CN" w:bidi="ar-SA"/>
              </w:rPr>
              <w:t>15</w:t>
            </w:r>
          </w:p>
        </w:tc>
        <w:tc>
          <w:tcPr>
            <w:tcW w:w="1510" w:type="dxa"/>
            <w:vAlign w:val="center"/>
          </w:tcPr>
          <w:p w14:paraId="7A156040">
            <w:pPr>
              <w:jc w:val="center"/>
              <w:rPr>
                <w:rFonts w:hint="default" w:eastAsiaTheme="minorEastAsia"/>
                <w:vertAlign w:val="baseline"/>
                <w:lang w:val="en-US" w:eastAsia="zh-CN"/>
              </w:rPr>
            </w:pPr>
            <w:r>
              <w:rPr>
                <w:rFonts w:hint="eastAsia"/>
                <w:vertAlign w:val="baseline"/>
                <w:lang w:val="en-US" w:eastAsia="zh-CN"/>
              </w:rPr>
              <w:t>15</w:t>
            </w:r>
          </w:p>
        </w:tc>
      </w:tr>
      <w:tr w14:paraId="574D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192EDBC">
            <w:pPr>
              <w:jc w:val="center"/>
              <w:rPr>
                <w:rFonts w:hint="eastAsia"/>
                <w:b/>
                <w:bCs/>
                <w:vertAlign w:val="baseline"/>
                <w:lang w:val="en-US" w:eastAsia="zh-CN"/>
              </w:rPr>
            </w:pPr>
          </w:p>
        </w:tc>
        <w:tc>
          <w:tcPr>
            <w:tcW w:w="9097" w:type="dxa"/>
            <w:vAlign w:val="center"/>
          </w:tcPr>
          <w:p w14:paraId="1E9F5478">
            <w:pPr>
              <w:adjustRightInd w:val="0"/>
              <w:snapToGrid w:val="0"/>
              <w:jc w:val="left"/>
              <w:rPr>
                <w:rFonts w:hint="eastAsia"/>
                <w:b w:val="0"/>
                <w:bCs w:val="0"/>
                <w:color w:val="FF0000"/>
                <w:vertAlign w:val="baseline"/>
                <w:lang w:val="en-US" w:eastAsia="zh-CN"/>
              </w:rPr>
            </w:pPr>
            <w:r>
              <w:rPr>
                <w:rFonts w:hint="eastAsia" w:ascii="宋体" w:hAnsi="宋体" w:eastAsia="宋体"/>
                <w:b w:val="0"/>
                <w:bCs/>
                <w:sz w:val="20"/>
                <w:szCs w:val="20"/>
                <w:lang w:val="en-US" w:eastAsia="zh-CN"/>
              </w:rPr>
              <w:t>2.湖南开放大学社区家庭教育科普基地，2022年立项，湖南省社会科学普及宣传活动组委会办公室，并在2022年年度考核中被评为优秀，依托基地开展家庭教育教学工作与科学研究，湘社普（2022）7号，排名第一，完成；</w:t>
            </w:r>
          </w:p>
        </w:tc>
        <w:tc>
          <w:tcPr>
            <w:tcW w:w="1511" w:type="dxa"/>
            <w:vAlign w:val="center"/>
          </w:tcPr>
          <w:p w14:paraId="45EDD466">
            <w:pPr>
              <w:jc w:val="center"/>
              <w:rPr>
                <w:vertAlign w:val="baseline"/>
              </w:rPr>
            </w:pPr>
            <w:r>
              <w:rPr>
                <w:rFonts w:hint="eastAsia"/>
                <w:color w:val="000000"/>
                <w:vertAlign w:val="baseline"/>
                <w:lang w:val="en-US" w:eastAsia="zh-CN"/>
              </w:rPr>
              <w:t>277-287</w:t>
            </w:r>
          </w:p>
        </w:tc>
        <w:tc>
          <w:tcPr>
            <w:tcW w:w="1318" w:type="dxa"/>
            <w:vAlign w:val="center"/>
          </w:tcPr>
          <w:p w14:paraId="018E0ED5">
            <w:pPr>
              <w:jc w:val="center"/>
              <w:rPr>
                <w:rFonts w:ascii="Arial Rounded MT Bold" w:hAnsi="Arial Rounded MT Bold" w:eastAsiaTheme="minorEastAsia" w:cstheme="minorBidi"/>
                <w:kern w:val="2"/>
                <w:sz w:val="21"/>
                <w:szCs w:val="24"/>
                <w:vertAlign w:val="baseline"/>
                <w:lang w:val="en-US" w:eastAsia="zh-CN" w:bidi="ar-SA"/>
              </w:rPr>
            </w:pPr>
            <w:r>
              <w:rPr>
                <w:rFonts w:hint="eastAsia" w:cstheme="minorBidi"/>
                <w:color w:val="000000"/>
                <w:kern w:val="2"/>
                <w:sz w:val="21"/>
                <w:szCs w:val="24"/>
                <w:vertAlign w:val="baseline"/>
                <w:lang w:val="en-US" w:eastAsia="zh-CN" w:bidi="ar-SA"/>
              </w:rPr>
              <w:t>7.5</w:t>
            </w:r>
          </w:p>
        </w:tc>
        <w:tc>
          <w:tcPr>
            <w:tcW w:w="1510" w:type="dxa"/>
            <w:vAlign w:val="center"/>
          </w:tcPr>
          <w:p w14:paraId="45BCFC34">
            <w:pPr>
              <w:jc w:val="center"/>
              <w:rPr>
                <w:rFonts w:hint="default" w:eastAsiaTheme="minorEastAsia"/>
                <w:vertAlign w:val="baseline"/>
                <w:lang w:val="en-US" w:eastAsia="zh-CN"/>
              </w:rPr>
            </w:pPr>
            <w:r>
              <w:rPr>
                <w:rFonts w:hint="eastAsia"/>
                <w:vertAlign w:val="baseline"/>
                <w:lang w:val="en-US" w:eastAsia="zh-CN"/>
              </w:rPr>
              <w:t>7.5</w:t>
            </w: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教学型</w:t>
            </w:r>
            <w:r>
              <w:rPr>
                <w:rFonts w:hint="eastAsia"/>
                <w:b/>
                <w:bCs/>
                <w:vertAlign w:val="baseline"/>
                <w:lang w:eastAsia="zh-CN"/>
              </w:rPr>
              <w:t>70分</w:t>
            </w:r>
            <w:r>
              <w:rPr>
                <w:rFonts w:hint="eastAsia"/>
                <w:b/>
                <w:bCs/>
                <w:vertAlign w:val="baseline"/>
                <w:lang w:eastAsia="zh-CN"/>
              </w:rPr>
              <w:tab/>
            </w:r>
            <w:r>
              <w:rPr>
                <w:rFonts w:hint="eastAsia"/>
                <w:b/>
                <w:bCs/>
                <w:vertAlign w:val="baseline"/>
                <w:lang w:eastAsia="zh-CN"/>
              </w:rPr>
              <w:t>，</w:t>
            </w:r>
            <w:r>
              <w:rPr>
                <w:rFonts w:hint="eastAsia"/>
                <w:b/>
                <w:bCs/>
                <w:vertAlign w:val="baseline"/>
                <w:lang w:val="en-US" w:eastAsia="zh-CN"/>
              </w:rPr>
              <w:t>教学科研型</w:t>
            </w:r>
            <w:r>
              <w:rPr>
                <w:rFonts w:hint="eastAsia"/>
                <w:b/>
                <w:bCs/>
                <w:vertAlign w:val="baseline"/>
                <w:lang w:eastAsia="zh-CN"/>
              </w:rPr>
              <w:t>120分，</w:t>
            </w:r>
            <w:r>
              <w:rPr>
                <w:rFonts w:hint="eastAsia"/>
                <w:b/>
                <w:bCs/>
                <w:vertAlign w:val="baseline"/>
                <w:lang w:val="en-US" w:eastAsia="zh-CN"/>
              </w:rPr>
              <w:t>双师双能型</w:t>
            </w:r>
            <w:r>
              <w:rPr>
                <w:rFonts w:hint="eastAsia"/>
                <w:b/>
                <w:bCs/>
                <w:vertAlign w:val="baseline"/>
                <w:lang w:eastAsia="zh-CN"/>
              </w:rPr>
              <w:t>80分）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19733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2F838A">
            <w:pPr>
              <w:jc w:val="left"/>
              <w:rPr>
                <w:rFonts w:hint="eastAsia"/>
                <w:b/>
                <w:bCs/>
                <w:vertAlign w:val="baseline"/>
                <w:lang w:val="en-US" w:eastAsia="zh-CN"/>
              </w:rPr>
            </w:pPr>
          </w:p>
        </w:tc>
        <w:tc>
          <w:tcPr>
            <w:tcW w:w="9097" w:type="dxa"/>
            <w:vAlign w:val="center"/>
          </w:tcPr>
          <w:p w14:paraId="7E16F7C5">
            <w:pPr>
              <w:jc w:val="both"/>
              <w:rPr>
                <w:rFonts w:hint="eastAsia"/>
                <w:b w:val="0"/>
                <w:bCs w:val="0"/>
                <w:color w:val="FF0000"/>
                <w:sz w:val="18"/>
                <w:szCs w:val="18"/>
                <w:lang w:val="en-US" w:eastAsia="zh-CN"/>
              </w:rPr>
            </w:pPr>
            <w:r>
              <w:rPr>
                <w:rFonts w:hint="eastAsia" w:ascii="宋体" w:hAnsi="宋体"/>
                <w:sz w:val="21"/>
                <w:szCs w:val="21"/>
                <w:lang w:val="en-US" w:eastAsia="zh-CN"/>
              </w:rPr>
              <w:t>1.</w:t>
            </w:r>
            <w:r>
              <w:rPr>
                <w:rFonts w:hint="eastAsia" w:ascii="宋体" w:hAnsi="宋体"/>
                <w:sz w:val="21"/>
                <w:szCs w:val="21"/>
                <w:lang w:eastAsia="zh-CN"/>
              </w:rPr>
              <w:t>财政部</w:t>
            </w:r>
            <w:r>
              <w:rPr>
                <w:rFonts w:hint="eastAsia" w:ascii="宋体" w:hAnsi="宋体"/>
                <w:sz w:val="21"/>
                <w:szCs w:val="21"/>
                <w:lang w:val="en-US" w:eastAsia="zh-CN"/>
              </w:rPr>
              <w:t xml:space="preserve"> 农业农村部《2022年重点强农惠农政策》解读——农业全产业链提升，农业科学实验，2022，独著，人大复印资料《种植与养殖》全文转载</w:t>
            </w:r>
            <w:r>
              <w:rPr>
                <w:rFonts w:hint="eastAsia" w:ascii="宋体" w:hAnsi="宋体"/>
                <w:b/>
                <w:bCs/>
                <w:sz w:val="21"/>
                <w:szCs w:val="21"/>
                <w:lang w:val="en-US" w:eastAsia="zh-CN"/>
              </w:rPr>
              <w:t>（代表作2）</w:t>
            </w:r>
          </w:p>
        </w:tc>
        <w:tc>
          <w:tcPr>
            <w:tcW w:w="1511" w:type="dxa"/>
            <w:vAlign w:val="center"/>
          </w:tcPr>
          <w:p w14:paraId="06C9ED93">
            <w:pPr>
              <w:jc w:val="center"/>
              <w:rPr>
                <w:rFonts w:hint="eastAsia"/>
                <w:b/>
                <w:bCs/>
                <w:vertAlign w:val="baseline"/>
                <w:lang w:val="en-US" w:eastAsia="zh-CN"/>
              </w:rPr>
            </w:pPr>
            <w:r>
              <w:rPr>
                <w:rFonts w:hint="eastAsia"/>
                <w:color w:val="000000"/>
                <w:vertAlign w:val="baseline"/>
                <w:lang w:val="en-US" w:eastAsia="zh-CN"/>
              </w:rPr>
              <w:t>1-12</w:t>
            </w:r>
          </w:p>
        </w:tc>
        <w:tc>
          <w:tcPr>
            <w:tcW w:w="1318" w:type="dxa"/>
            <w:vAlign w:val="center"/>
          </w:tcPr>
          <w:p w14:paraId="4D7820A4">
            <w:pPr>
              <w:jc w:val="center"/>
              <w:rPr>
                <w:rFonts w:hint="eastAsia"/>
                <w:b/>
                <w:bCs/>
                <w:vertAlign w:val="baseline"/>
                <w:lang w:val="en-US" w:eastAsia="zh-CN"/>
              </w:rPr>
            </w:pPr>
            <w:r>
              <w:rPr>
                <w:rFonts w:hint="eastAsia"/>
                <w:color w:val="000000"/>
                <w:vertAlign w:val="baseline"/>
                <w:lang w:val="en-US" w:eastAsia="zh-CN"/>
              </w:rPr>
              <w:t>15</w:t>
            </w:r>
          </w:p>
        </w:tc>
        <w:tc>
          <w:tcPr>
            <w:tcW w:w="1510" w:type="dxa"/>
            <w:vAlign w:val="center"/>
          </w:tcPr>
          <w:p w14:paraId="326A5334">
            <w:pPr>
              <w:jc w:val="center"/>
              <w:rPr>
                <w:rFonts w:hint="default"/>
                <w:b/>
                <w:bCs/>
                <w:vertAlign w:val="baseline"/>
                <w:lang w:val="en-US" w:eastAsia="zh-CN"/>
              </w:rPr>
            </w:pPr>
            <w:r>
              <w:rPr>
                <w:rFonts w:hint="eastAsia"/>
                <w:b/>
                <w:bCs/>
                <w:vertAlign w:val="baseline"/>
                <w:lang w:val="en-US" w:eastAsia="zh-CN"/>
              </w:rPr>
              <w:t>15</w:t>
            </w:r>
          </w:p>
        </w:tc>
      </w:tr>
      <w:tr w14:paraId="6FEF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1D7B3C">
            <w:pPr>
              <w:jc w:val="left"/>
              <w:rPr>
                <w:rFonts w:hint="eastAsia"/>
                <w:b/>
                <w:bCs/>
                <w:vertAlign w:val="baseline"/>
                <w:lang w:val="en-US" w:eastAsia="zh-CN"/>
              </w:rPr>
            </w:pPr>
          </w:p>
        </w:tc>
        <w:tc>
          <w:tcPr>
            <w:tcW w:w="9097" w:type="dxa"/>
            <w:vAlign w:val="center"/>
          </w:tcPr>
          <w:p w14:paraId="553F67B7">
            <w:pPr>
              <w:numPr>
                <w:ilvl w:val="0"/>
                <w:numId w:val="0"/>
              </w:numPr>
              <w:ind w:left="0" w:leftChars="0" w:firstLine="0" w:firstLineChars="0"/>
              <w:jc w:val="both"/>
              <w:rPr>
                <w:rFonts w:hint="eastAsia"/>
                <w:b w:val="0"/>
                <w:bCs w:val="0"/>
                <w:color w:val="FF0000"/>
                <w:sz w:val="18"/>
                <w:szCs w:val="18"/>
                <w:lang w:val="en-US" w:eastAsia="zh-CN"/>
              </w:rPr>
            </w:pPr>
            <w:r>
              <w:rPr>
                <w:rFonts w:hint="eastAsia" w:ascii="宋体" w:hAnsi="宋体"/>
                <w:sz w:val="21"/>
                <w:szCs w:val="21"/>
                <w:lang w:val="en-US" w:eastAsia="zh-CN"/>
              </w:rPr>
              <w:t>2.《顺势应需做大老龄教育消费产业》在《湖南社科研究》2023年第12期刊发，得到了省政协副主席赖明勇的亲自批示，其中“将老年大学建设列入2024年省政府民生实事项目被省委省政府采纳（按照学校职称评审文件认定为C刊）；</w:t>
            </w:r>
          </w:p>
        </w:tc>
        <w:tc>
          <w:tcPr>
            <w:tcW w:w="1511" w:type="dxa"/>
            <w:vAlign w:val="center"/>
          </w:tcPr>
          <w:p w14:paraId="7EAB8527">
            <w:pPr>
              <w:jc w:val="center"/>
              <w:rPr>
                <w:rFonts w:hint="eastAsia"/>
                <w:b/>
                <w:bCs/>
                <w:vertAlign w:val="baseline"/>
                <w:lang w:val="en-US" w:eastAsia="zh-CN"/>
              </w:rPr>
            </w:pPr>
            <w:r>
              <w:rPr>
                <w:rFonts w:hint="eastAsia"/>
                <w:color w:val="000000"/>
                <w:vertAlign w:val="baseline"/>
                <w:lang w:val="en-US" w:eastAsia="zh-CN"/>
              </w:rPr>
              <w:t>13-38</w:t>
            </w:r>
          </w:p>
        </w:tc>
        <w:tc>
          <w:tcPr>
            <w:tcW w:w="1318" w:type="dxa"/>
            <w:vAlign w:val="center"/>
          </w:tcPr>
          <w:p w14:paraId="24A4F1B3">
            <w:pPr>
              <w:jc w:val="center"/>
              <w:rPr>
                <w:rFonts w:hint="eastAsia"/>
                <w:b/>
                <w:bCs/>
                <w:vertAlign w:val="baseline"/>
                <w:lang w:val="en-US" w:eastAsia="zh-CN"/>
              </w:rPr>
            </w:pPr>
            <w:r>
              <w:rPr>
                <w:rFonts w:hint="eastAsia"/>
                <w:color w:val="000000"/>
                <w:vertAlign w:val="baseline"/>
                <w:lang w:val="en-US" w:eastAsia="zh-CN"/>
              </w:rPr>
              <w:t>5.6</w:t>
            </w:r>
          </w:p>
        </w:tc>
        <w:tc>
          <w:tcPr>
            <w:tcW w:w="1510" w:type="dxa"/>
            <w:vAlign w:val="center"/>
          </w:tcPr>
          <w:p w14:paraId="3E028C69">
            <w:pPr>
              <w:jc w:val="center"/>
              <w:rPr>
                <w:rFonts w:hint="default"/>
                <w:b/>
                <w:bCs/>
                <w:vertAlign w:val="baseline"/>
                <w:lang w:val="en-US" w:eastAsia="zh-CN"/>
              </w:rPr>
            </w:pPr>
            <w:r>
              <w:rPr>
                <w:rFonts w:hint="eastAsia"/>
                <w:b/>
                <w:bCs/>
                <w:vertAlign w:val="baseline"/>
                <w:lang w:val="en-US" w:eastAsia="zh-CN"/>
              </w:rPr>
              <w:t>5.6</w:t>
            </w:r>
          </w:p>
        </w:tc>
      </w:tr>
      <w:tr w14:paraId="06324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15B571">
            <w:pPr>
              <w:jc w:val="left"/>
              <w:rPr>
                <w:rFonts w:hint="eastAsia"/>
                <w:b/>
                <w:bCs/>
                <w:vertAlign w:val="baseline"/>
                <w:lang w:val="en-US" w:eastAsia="zh-CN"/>
              </w:rPr>
            </w:pPr>
          </w:p>
        </w:tc>
        <w:tc>
          <w:tcPr>
            <w:tcW w:w="9097" w:type="dxa"/>
            <w:vAlign w:val="center"/>
          </w:tcPr>
          <w:p w14:paraId="3B1698AA">
            <w:pPr>
              <w:numPr>
                <w:ilvl w:val="0"/>
                <w:numId w:val="0"/>
              </w:numPr>
              <w:ind w:left="0" w:leftChars="0" w:firstLine="0" w:firstLineChars="0"/>
              <w:jc w:val="both"/>
              <w:rPr>
                <w:rFonts w:hint="eastAsia"/>
                <w:b w:val="0"/>
                <w:bCs w:val="0"/>
                <w:color w:val="FF0000"/>
                <w:sz w:val="18"/>
                <w:szCs w:val="18"/>
                <w:lang w:val="en-US" w:eastAsia="zh-CN"/>
              </w:rPr>
            </w:pPr>
            <w:r>
              <w:rPr>
                <w:rFonts w:hint="eastAsia" w:ascii="宋体" w:hAnsi="宋体"/>
                <w:sz w:val="21"/>
                <w:szCs w:val="21"/>
                <w:lang w:val="en-US" w:eastAsia="zh-CN"/>
              </w:rPr>
              <w:t>3.《全国现代化设施农业建设规划（2023-2030年）解读——高效节地设施畜牧业建设工程》，当代农机，2024，独著，人大复印资料《种植与养殖》全文转载，</w:t>
            </w:r>
          </w:p>
        </w:tc>
        <w:tc>
          <w:tcPr>
            <w:tcW w:w="1511" w:type="dxa"/>
            <w:vAlign w:val="center"/>
          </w:tcPr>
          <w:p w14:paraId="7C0C7496">
            <w:pPr>
              <w:jc w:val="center"/>
              <w:rPr>
                <w:rFonts w:hint="eastAsia"/>
                <w:b/>
                <w:bCs/>
                <w:vertAlign w:val="baseline"/>
                <w:lang w:val="en-US" w:eastAsia="zh-CN"/>
              </w:rPr>
            </w:pPr>
            <w:r>
              <w:rPr>
                <w:rFonts w:hint="eastAsia"/>
                <w:color w:val="000000"/>
                <w:vertAlign w:val="baseline"/>
                <w:lang w:val="en-US" w:eastAsia="zh-CN"/>
              </w:rPr>
              <w:t>39-49</w:t>
            </w:r>
          </w:p>
        </w:tc>
        <w:tc>
          <w:tcPr>
            <w:tcW w:w="1318" w:type="dxa"/>
            <w:vAlign w:val="center"/>
          </w:tcPr>
          <w:p w14:paraId="0C250EC1">
            <w:pPr>
              <w:jc w:val="center"/>
              <w:rPr>
                <w:rFonts w:hint="eastAsia"/>
                <w:b/>
                <w:bCs/>
                <w:vertAlign w:val="baseline"/>
                <w:lang w:val="en-US" w:eastAsia="zh-CN"/>
              </w:rPr>
            </w:pPr>
            <w:r>
              <w:rPr>
                <w:rFonts w:hint="eastAsia"/>
                <w:color w:val="000000"/>
                <w:vertAlign w:val="baseline"/>
                <w:lang w:val="en-US" w:eastAsia="zh-CN"/>
              </w:rPr>
              <w:t>15</w:t>
            </w:r>
          </w:p>
        </w:tc>
        <w:tc>
          <w:tcPr>
            <w:tcW w:w="1510" w:type="dxa"/>
            <w:vAlign w:val="center"/>
          </w:tcPr>
          <w:p w14:paraId="4A9705E3">
            <w:pPr>
              <w:jc w:val="center"/>
              <w:rPr>
                <w:rFonts w:hint="default"/>
                <w:b/>
                <w:bCs/>
                <w:vertAlign w:val="baseline"/>
                <w:lang w:val="en-US" w:eastAsia="zh-CN"/>
              </w:rPr>
            </w:pPr>
            <w:r>
              <w:rPr>
                <w:rFonts w:hint="eastAsia"/>
                <w:b/>
                <w:bCs/>
                <w:vertAlign w:val="baseline"/>
                <w:lang w:val="en-US" w:eastAsia="zh-CN"/>
              </w:rPr>
              <w:t>15</w:t>
            </w:r>
          </w:p>
        </w:tc>
      </w:tr>
      <w:tr w14:paraId="321C2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E07C372">
            <w:pPr>
              <w:jc w:val="left"/>
              <w:rPr>
                <w:rFonts w:hint="eastAsia"/>
                <w:b/>
                <w:bCs/>
                <w:vertAlign w:val="baseline"/>
                <w:lang w:val="en-US" w:eastAsia="zh-CN"/>
              </w:rPr>
            </w:pPr>
          </w:p>
        </w:tc>
        <w:tc>
          <w:tcPr>
            <w:tcW w:w="9097" w:type="dxa"/>
            <w:vAlign w:val="center"/>
          </w:tcPr>
          <w:p w14:paraId="06339DFC">
            <w:pPr>
              <w:numPr>
                <w:ilvl w:val="0"/>
                <w:numId w:val="0"/>
              </w:numPr>
              <w:ind w:left="0" w:leftChars="0" w:firstLine="0" w:firstLineChars="0"/>
              <w:jc w:val="both"/>
              <w:rPr>
                <w:rFonts w:hint="eastAsia"/>
                <w:b w:val="0"/>
                <w:bCs w:val="0"/>
                <w:color w:val="FF0000"/>
                <w:sz w:val="18"/>
                <w:szCs w:val="18"/>
                <w:lang w:val="en-US" w:eastAsia="zh-CN"/>
              </w:rPr>
            </w:pPr>
            <w:r>
              <w:rPr>
                <w:rFonts w:hint="eastAsia"/>
                <w:kern w:val="0"/>
                <w:sz w:val="21"/>
                <w:szCs w:val="21"/>
                <w:lang w:val="en-US" w:eastAsia="zh-CN"/>
              </w:rPr>
              <w:t>4.</w:t>
            </w:r>
            <w:r>
              <w:rPr>
                <w:rFonts w:hint="eastAsia"/>
                <w:kern w:val="0"/>
                <w:sz w:val="21"/>
                <w:szCs w:val="21"/>
                <w:lang w:eastAsia="zh-CN"/>
              </w:rPr>
              <w:t>思想政治教育在皮革企业思政建设中的应用——评《新时期国有企业思想政治工作方法，皮革科学与工程，</w:t>
            </w:r>
            <w:r>
              <w:rPr>
                <w:rFonts w:hint="eastAsia"/>
                <w:kern w:val="0"/>
                <w:sz w:val="21"/>
                <w:szCs w:val="21"/>
                <w:lang w:val="en-US" w:eastAsia="zh-CN"/>
              </w:rPr>
              <w:t>2022，独著，中文核心，学术期刊第一批5040；</w:t>
            </w:r>
          </w:p>
        </w:tc>
        <w:tc>
          <w:tcPr>
            <w:tcW w:w="1511" w:type="dxa"/>
            <w:vAlign w:val="center"/>
          </w:tcPr>
          <w:p w14:paraId="0649905A">
            <w:pPr>
              <w:jc w:val="center"/>
              <w:rPr>
                <w:rFonts w:hint="eastAsia"/>
                <w:b/>
                <w:bCs/>
                <w:vertAlign w:val="baseline"/>
                <w:lang w:val="en-US" w:eastAsia="zh-CN"/>
              </w:rPr>
            </w:pPr>
            <w:r>
              <w:rPr>
                <w:rFonts w:hint="eastAsia"/>
                <w:color w:val="000000"/>
                <w:vertAlign w:val="baseline"/>
                <w:lang w:val="en-US" w:eastAsia="zh-CN"/>
              </w:rPr>
              <w:t>50-55</w:t>
            </w:r>
          </w:p>
        </w:tc>
        <w:tc>
          <w:tcPr>
            <w:tcW w:w="1318" w:type="dxa"/>
            <w:vAlign w:val="center"/>
          </w:tcPr>
          <w:p w14:paraId="3FA8F36B">
            <w:pPr>
              <w:jc w:val="center"/>
              <w:rPr>
                <w:rFonts w:hint="eastAsia"/>
                <w:b/>
                <w:bCs/>
                <w:vertAlign w:val="baseline"/>
                <w:lang w:val="en-US" w:eastAsia="zh-CN"/>
              </w:rPr>
            </w:pPr>
            <w:r>
              <w:rPr>
                <w:rFonts w:hint="eastAsia"/>
                <w:color w:val="000000"/>
                <w:vertAlign w:val="baseline"/>
                <w:lang w:val="en-US" w:eastAsia="zh-CN"/>
              </w:rPr>
              <w:t>4</w:t>
            </w:r>
          </w:p>
        </w:tc>
        <w:tc>
          <w:tcPr>
            <w:tcW w:w="1510" w:type="dxa"/>
            <w:vAlign w:val="center"/>
          </w:tcPr>
          <w:p w14:paraId="434C90C5">
            <w:pPr>
              <w:jc w:val="center"/>
              <w:rPr>
                <w:rFonts w:hint="default"/>
                <w:b/>
                <w:bCs/>
                <w:vertAlign w:val="baseline"/>
                <w:lang w:val="en-US" w:eastAsia="zh-CN"/>
              </w:rPr>
            </w:pPr>
            <w:r>
              <w:rPr>
                <w:rFonts w:hint="eastAsia"/>
                <w:b/>
                <w:bCs/>
                <w:vertAlign w:val="baseline"/>
                <w:lang w:val="en-US" w:eastAsia="zh-CN"/>
              </w:rPr>
              <w:t>4</w:t>
            </w:r>
          </w:p>
        </w:tc>
      </w:tr>
      <w:tr w14:paraId="2D55E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C20B5F">
            <w:pPr>
              <w:jc w:val="left"/>
              <w:rPr>
                <w:rFonts w:hint="eastAsia"/>
                <w:b/>
                <w:bCs/>
                <w:vertAlign w:val="baseline"/>
                <w:lang w:val="en-US" w:eastAsia="zh-CN"/>
              </w:rPr>
            </w:pPr>
          </w:p>
        </w:tc>
        <w:tc>
          <w:tcPr>
            <w:tcW w:w="9097" w:type="dxa"/>
            <w:vAlign w:val="center"/>
          </w:tcPr>
          <w:p w14:paraId="67EC3421">
            <w:pPr>
              <w:numPr>
                <w:ilvl w:val="0"/>
                <w:numId w:val="0"/>
              </w:numPr>
              <w:ind w:left="0" w:leftChars="0" w:firstLine="0" w:firstLineChars="0"/>
              <w:jc w:val="both"/>
              <w:rPr>
                <w:rFonts w:hint="eastAsia"/>
                <w:b w:val="0"/>
                <w:bCs w:val="0"/>
                <w:color w:val="FF0000"/>
                <w:sz w:val="18"/>
                <w:szCs w:val="18"/>
                <w:lang w:val="en-US" w:eastAsia="zh-CN"/>
              </w:rPr>
            </w:pPr>
            <w:r>
              <w:rPr>
                <w:rFonts w:hint="eastAsia" w:ascii="宋体" w:hAnsi="宋体" w:cs="Times New Roman"/>
                <w:kern w:val="2"/>
                <w:sz w:val="21"/>
                <w:szCs w:val="21"/>
                <w:lang w:val="en-US" w:eastAsia="zh-CN" w:bidi="ar-SA"/>
              </w:rPr>
              <w:t>5.以高质量老年教育推动学习型大国建设，湖南日报理论版，2023，合著（排1），中文核心；</w:t>
            </w:r>
          </w:p>
        </w:tc>
        <w:tc>
          <w:tcPr>
            <w:tcW w:w="1511" w:type="dxa"/>
            <w:vAlign w:val="center"/>
          </w:tcPr>
          <w:p w14:paraId="1D51AC8C">
            <w:pPr>
              <w:jc w:val="center"/>
              <w:rPr>
                <w:rFonts w:hint="eastAsia"/>
                <w:b/>
                <w:bCs/>
                <w:vertAlign w:val="baseline"/>
                <w:lang w:val="en-US" w:eastAsia="zh-CN"/>
              </w:rPr>
            </w:pPr>
            <w:r>
              <w:rPr>
                <w:rFonts w:hint="eastAsia"/>
                <w:color w:val="000000"/>
                <w:vertAlign w:val="baseline"/>
                <w:lang w:val="en-US" w:eastAsia="zh-CN"/>
              </w:rPr>
              <w:t>56--57</w:t>
            </w:r>
          </w:p>
        </w:tc>
        <w:tc>
          <w:tcPr>
            <w:tcW w:w="1318" w:type="dxa"/>
            <w:vAlign w:val="center"/>
          </w:tcPr>
          <w:p w14:paraId="6E6BAF99">
            <w:pPr>
              <w:jc w:val="center"/>
              <w:rPr>
                <w:rFonts w:hint="eastAsia"/>
                <w:b/>
                <w:bCs/>
                <w:vertAlign w:val="baseline"/>
                <w:lang w:val="en-US" w:eastAsia="zh-CN"/>
              </w:rPr>
            </w:pPr>
            <w:r>
              <w:rPr>
                <w:rFonts w:hint="eastAsia"/>
                <w:color w:val="000000"/>
                <w:vertAlign w:val="baseline"/>
                <w:lang w:val="en-US" w:eastAsia="zh-CN"/>
              </w:rPr>
              <w:t>2.8</w:t>
            </w:r>
          </w:p>
        </w:tc>
        <w:tc>
          <w:tcPr>
            <w:tcW w:w="1510" w:type="dxa"/>
            <w:vAlign w:val="center"/>
          </w:tcPr>
          <w:p w14:paraId="5C58919F">
            <w:pPr>
              <w:jc w:val="center"/>
              <w:rPr>
                <w:rFonts w:hint="default"/>
                <w:b/>
                <w:bCs/>
                <w:vertAlign w:val="baseline"/>
                <w:lang w:val="en-US" w:eastAsia="zh-CN"/>
              </w:rPr>
            </w:pPr>
            <w:r>
              <w:rPr>
                <w:rFonts w:hint="eastAsia"/>
                <w:b/>
                <w:bCs/>
                <w:vertAlign w:val="baseline"/>
                <w:lang w:val="en-US" w:eastAsia="zh-CN"/>
              </w:rPr>
              <w:t>2.8</w:t>
            </w:r>
          </w:p>
        </w:tc>
      </w:tr>
      <w:tr w14:paraId="278B6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582207">
            <w:pPr>
              <w:jc w:val="left"/>
              <w:rPr>
                <w:rFonts w:hint="eastAsia"/>
                <w:b/>
                <w:bCs/>
                <w:vertAlign w:val="baseline"/>
                <w:lang w:val="en-US" w:eastAsia="zh-CN"/>
              </w:rPr>
            </w:pPr>
          </w:p>
        </w:tc>
        <w:tc>
          <w:tcPr>
            <w:tcW w:w="9097" w:type="dxa"/>
            <w:vAlign w:val="center"/>
          </w:tcPr>
          <w:p w14:paraId="044C50A0">
            <w:pPr>
              <w:numPr>
                <w:ilvl w:val="0"/>
                <w:numId w:val="0"/>
              </w:numPr>
              <w:ind w:left="0" w:leftChars="0" w:firstLine="0" w:firstLineChars="0"/>
              <w:jc w:val="both"/>
              <w:rPr>
                <w:rFonts w:hint="eastAsia"/>
                <w:b w:val="0"/>
                <w:bCs w:val="0"/>
                <w:color w:val="FF0000"/>
                <w:sz w:val="18"/>
                <w:szCs w:val="18"/>
                <w:lang w:val="en-US" w:eastAsia="zh-CN"/>
              </w:rPr>
            </w:pPr>
            <w:r>
              <w:rPr>
                <w:rFonts w:hint="eastAsia" w:ascii="宋体" w:hAnsi="宋体" w:eastAsia="宋体" w:cs="宋体"/>
                <w:sz w:val="21"/>
                <w:szCs w:val="21"/>
                <w:lang w:val="en-US" w:eastAsia="zh-CN"/>
              </w:rPr>
              <w:t>6.</w:t>
            </w:r>
            <w:r>
              <w:rPr>
                <w:rFonts w:hint="eastAsia" w:ascii="宋体" w:hAnsi="宋体"/>
                <w:sz w:val="21"/>
                <w:szCs w:val="21"/>
                <w:lang w:val="en-US" w:eastAsia="zh-CN"/>
              </w:rPr>
              <w:t>.</w:t>
            </w:r>
            <w:r>
              <w:rPr>
                <w:rFonts w:hint="default" w:ascii="宋体" w:hAnsi="宋体"/>
                <w:sz w:val="21"/>
                <w:szCs w:val="21"/>
                <w:lang w:val="en-US" w:eastAsia="zh-CN"/>
              </w:rPr>
              <w:t>国家助学金资助人信息不实的原因探析</w:t>
            </w:r>
            <w:r>
              <w:rPr>
                <w:rFonts w:hint="eastAsia" w:ascii="宋体" w:hAnsi="宋体"/>
                <w:sz w:val="21"/>
                <w:szCs w:val="21"/>
                <w:lang w:val="en-US" w:eastAsia="zh-CN"/>
              </w:rPr>
              <w:t>，宿州教育学院学报，2016，合著（排2），一般刊物，学术期刊第一批3524号；</w:t>
            </w:r>
          </w:p>
        </w:tc>
        <w:tc>
          <w:tcPr>
            <w:tcW w:w="1511" w:type="dxa"/>
            <w:vAlign w:val="center"/>
          </w:tcPr>
          <w:p w14:paraId="0155FC0C">
            <w:pPr>
              <w:jc w:val="center"/>
              <w:rPr>
                <w:rFonts w:hint="default"/>
                <w:b/>
                <w:bCs/>
                <w:vertAlign w:val="baseline"/>
                <w:lang w:val="en-US" w:eastAsia="zh-CN"/>
              </w:rPr>
            </w:pPr>
            <w:r>
              <w:rPr>
                <w:rFonts w:hint="eastAsia"/>
                <w:color w:val="000000"/>
                <w:vertAlign w:val="baseline"/>
                <w:lang w:val="en-US" w:eastAsia="zh-CN"/>
              </w:rPr>
              <w:t>78-79</w:t>
            </w:r>
          </w:p>
        </w:tc>
        <w:tc>
          <w:tcPr>
            <w:tcW w:w="1318" w:type="dxa"/>
            <w:vAlign w:val="center"/>
          </w:tcPr>
          <w:p w14:paraId="0F074705">
            <w:pPr>
              <w:jc w:val="center"/>
              <w:rPr>
                <w:rFonts w:hint="default"/>
                <w:b/>
                <w:bCs/>
                <w:vertAlign w:val="baseline"/>
                <w:lang w:val="en-US" w:eastAsia="zh-CN"/>
              </w:rPr>
            </w:pPr>
            <w:r>
              <w:rPr>
                <w:rFonts w:hint="eastAsia"/>
                <w:b/>
                <w:bCs/>
                <w:vertAlign w:val="baseline"/>
                <w:lang w:val="en-US" w:eastAsia="zh-CN"/>
              </w:rPr>
              <w:t>0.6</w:t>
            </w:r>
          </w:p>
        </w:tc>
        <w:tc>
          <w:tcPr>
            <w:tcW w:w="1510" w:type="dxa"/>
            <w:vAlign w:val="center"/>
          </w:tcPr>
          <w:p w14:paraId="1F7E8393">
            <w:pPr>
              <w:jc w:val="center"/>
              <w:rPr>
                <w:rFonts w:hint="default"/>
                <w:b/>
                <w:bCs/>
                <w:vertAlign w:val="baseline"/>
                <w:lang w:val="en-US" w:eastAsia="zh-CN"/>
              </w:rPr>
            </w:pPr>
            <w:r>
              <w:rPr>
                <w:rFonts w:hint="eastAsia"/>
                <w:b/>
                <w:bCs/>
                <w:vertAlign w:val="baseline"/>
                <w:lang w:val="en-US" w:eastAsia="zh-CN"/>
              </w:rPr>
              <w:t>0.6</w:t>
            </w:r>
          </w:p>
        </w:tc>
      </w:tr>
      <w:tr w14:paraId="3DA00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DAB00D">
            <w:pPr>
              <w:jc w:val="left"/>
              <w:rPr>
                <w:rFonts w:hint="eastAsia"/>
                <w:b/>
                <w:bCs/>
                <w:vertAlign w:val="baseline"/>
                <w:lang w:val="en-US" w:eastAsia="zh-CN"/>
              </w:rPr>
            </w:pPr>
          </w:p>
        </w:tc>
        <w:tc>
          <w:tcPr>
            <w:tcW w:w="9097" w:type="dxa"/>
            <w:vAlign w:val="center"/>
          </w:tcPr>
          <w:p w14:paraId="1F431F53">
            <w:pPr>
              <w:numPr>
                <w:ilvl w:val="0"/>
                <w:numId w:val="0"/>
              </w:numPr>
              <w:ind w:left="0" w:leftChars="0" w:firstLine="0" w:firstLineChars="0"/>
              <w:jc w:val="both"/>
              <w:rPr>
                <w:rFonts w:hint="eastAsia"/>
                <w:b w:val="0"/>
                <w:bCs w:val="0"/>
                <w:color w:val="FF0000"/>
                <w:sz w:val="18"/>
                <w:szCs w:val="18"/>
                <w:lang w:val="en-US" w:eastAsia="zh-CN"/>
              </w:rPr>
            </w:pPr>
            <w:r>
              <w:rPr>
                <w:rFonts w:hint="eastAsia" w:ascii="宋体" w:hAnsi="宋体" w:cs="Times New Roman"/>
                <w:kern w:val="2"/>
                <w:sz w:val="21"/>
                <w:szCs w:val="21"/>
                <w:lang w:val="en-US" w:eastAsia="zh-CN" w:bidi="ar-SA"/>
              </w:rPr>
              <w:t>7.茶文化思维在老年人服务工作的运用，福建茶叶，2023，独著，一般刊物，学术期刊第二批647号；</w:t>
            </w:r>
          </w:p>
        </w:tc>
        <w:tc>
          <w:tcPr>
            <w:tcW w:w="1511" w:type="dxa"/>
            <w:vAlign w:val="center"/>
          </w:tcPr>
          <w:p w14:paraId="4DE73D70">
            <w:pPr>
              <w:jc w:val="center"/>
              <w:rPr>
                <w:rFonts w:hint="eastAsia"/>
                <w:b/>
                <w:bCs/>
                <w:vertAlign w:val="baseline"/>
                <w:lang w:val="en-US" w:eastAsia="zh-CN"/>
              </w:rPr>
            </w:pPr>
            <w:r>
              <w:rPr>
                <w:rFonts w:hint="eastAsia"/>
                <w:color w:val="000000"/>
                <w:vertAlign w:val="baseline"/>
                <w:lang w:val="en-US" w:eastAsia="zh-CN"/>
              </w:rPr>
              <w:t>68-70</w:t>
            </w:r>
          </w:p>
        </w:tc>
        <w:tc>
          <w:tcPr>
            <w:tcW w:w="1318" w:type="dxa"/>
            <w:vAlign w:val="center"/>
          </w:tcPr>
          <w:p w14:paraId="305A3BF1">
            <w:pPr>
              <w:jc w:val="center"/>
              <w:rPr>
                <w:rFonts w:hint="eastAsia"/>
                <w:b/>
                <w:bCs/>
                <w:vertAlign w:val="baseline"/>
                <w:lang w:val="en-US" w:eastAsia="zh-CN"/>
              </w:rPr>
            </w:pPr>
            <w:r>
              <w:rPr>
                <w:rFonts w:hint="eastAsia"/>
                <w:color w:val="000000"/>
                <w:vertAlign w:val="baseline"/>
                <w:lang w:val="en-US" w:eastAsia="zh-CN"/>
              </w:rPr>
              <w:t>2</w:t>
            </w:r>
          </w:p>
        </w:tc>
        <w:tc>
          <w:tcPr>
            <w:tcW w:w="1510" w:type="dxa"/>
            <w:vAlign w:val="center"/>
          </w:tcPr>
          <w:p w14:paraId="6E5FD4B7">
            <w:pPr>
              <w:jc w:val="center"/>
              <w:rPr>
                <w:rFonts w:hint="default"/>
                <w:b/>
                <w:bCs/>
                <w:vertAlign w:val="baseline"/>
                <w:lang w:val="en-US" w:eastAsia="zh-CN"/>
              </w:rPr>
            </w:pPr>
            <w:r>
              <w:rPr>
                <w:rFonts w:hint="eastAsia"/>
                <w:b/>
                <w:bCs/>
                <w:vertAlign w:val="baseline"/>
                <w:lang w:val="en-US" w:eastAsia="zh-CN"/>
              </w:rPr>
              <w:t>2</w:t>
            </w:r>
          </w:p>
        </w:tc>
      </w:tr>
      <w:tr w14:paraId="59BC0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551D34A">
            <w:pPr>
              <w:jc w:val="left"/>
              <w:rPr>
                <w:rFonts w:hint="eastAsia"/>
                <w:b/>
                <w:bCs/>
                <w:vertAlign w:val="baseline"/>
                <w:lang w:val="en-US" w:eastAsia="zh-CN"/>
              </w:rPr>
            </w:pPr>
          </w:p>
        </w:tc>
        <w:tc>
          <w:tcPr>
            <w:tcW w:w="9097" w:type="dxa"/>
            <w:vAlign w:val="center"/>
          </w:tcPr>
          <w:p w14:paraId="38652C9B">
            <w:pPr>
              <w:numPr>
                <w:ilvl w:val="0"/>
                <w:numId w:val="0"/>
              </w:numPr>
              <w:jc w:val="both"/>
              <w:rPr>
                <w:rFonts w:hint="eastAsia"/>
                <w:b w:val="0"/>
                <w:bCs w:val="0"/>
                <w:color w:val="FF0000"/>
                <w:sz w:val="18"/>
                <w:szCs w:val="18"/>
                <w:lang w:val="en-US" w:eastAsia="zh-CN"/>
              </w:rPr>
            </w:pPr>
            <w:r>
              <w:rPr>
                <w:rFonts w:hint="eastAsia"/>
                <w:sz w:val="21"/>
                <w:szCs w:val="21"/>
                <w:lang w:val="en-US" w:eastAsia="zh-CN"/>
              </w:rPr>
              <w:t>8.</w:t>
            </w:r>
            <w:r>
              <w:rPr>
                <w:rFonts w:hint="eastAsia"/>
                <w:sz w:val="21"/>
                <w:szCs w:val="21"/>
                <w:lang w:eastAsia="zh-CN"/>
              </w:rPr>
              <w:t>关于思政方法规律主体内涵的审视，</w:t>
            </w:r>
            <w:r>
              <w:rPr>
                <w:rFonts w:hint="eastAsia"/>
                <w:kern w:val="0"/>
                <w:sz w:val="21"/>
                <w:szCs w:val="21"/>
                <w:lang w:eastAsia="zh-CN"/>
              </w:rPr>
              <w:t>江西电力职业技术学院学报，</w:t>
            </w:r>
            <w:r>
              <w:rPr>
                <w:rFonts w:hint="eastAsia"/>
                <w:kern w:val="0"/>
                <w:sz w:val="21"/>
                <w:szCs w:val="21"/>
                <w:lang w:val="en-US" w:eastAsia="zh-CN"/>
              </w:rPr>
              <w:t>2020，合著（排1），一般刊物，学术期刊第一批3754号；</w:t>
            </w:r>
          </w:p>
        </w:tc>
        <w:tc>
          <w:tcPr>
            <w:tcW w:w="1511" w:type="dxa"/>
            <w:vAlign w:val="center"/>
          </w:tcPr>
          <w:p w14:paraId="2C751C69">
            <w:pPr>
              <w:jc w:val="center"/>
              <w:rPr>
                <w:rFonts w:hint="eastAsia"/>
                <w:b/>
                <w:bCs/>
                <w:vertAlign w:val="baseline"/>
                <w:lang w:val="en-US" w:eastAsia="zh-CN"/>
              </w:rPr>
            </w:pPr>
            <w:r>
              <w:rPr>
                <w:rFonts w:hint="eastAsia"/>
                <w:color w:val="000000"/>
                <w:vertAlign w:val="baseline"/>
                <w:lang w:val="en-US" w:eastAsia="zh-CN"/>
              </w:rPr>
              <w:t>71-72</w:t>
            </w:r>
          </w:p>
        </w:tc>
        <w:tc>
          <w:tcPr>
            <w:tcW w:w="1318" w:type="dxa"/>
            <w:vAlign w:val="center"/>
          </w:tcPr>
          <w:p w14:paraId="1FFBECBA">
            <w:pPr>
              <w:jc w:val="center"/>
              <w:rPr>
                <w:rFonts w:hint="eastAsia"/>
                <w:b/>
                <w:bCs/>
                <w:vertAlign w:val="baseline"/>
                <w:lang w:val="en-US" w:eastAsia="zh-CN"/>
              </w:rPr>
            </w:pPr>
            <w:r>
              <w:rPr>
                <w:rFonts w:hint="eastAsia"/>
                <w:color w:val="000000"/>
                <w:vertAlign w:val="baseline"/>
                <w:lang w:val="en-US" w:eastAsia="zh-CN"/>
              </w:rPr>
              <w:t>1.4</w:t>
            </w:r>
          </w:p>
        </w:tc>
        <w:tc>
          <w:tcPr>
            <w:tcW w:w="1510" w:type="dxa"/>
            <w:vAlign w:val="center"/>
          </w:tcPr>
          <w:p w14:paraId="2FD9DCB7">
            <w:pPr>
              <w:jc w:val="center"/>
              <w:rPr>
                <w:rFonts w:hint="default"/>
                <w:b/>
                <w:bCs/>
                <w:vertAlign w:val="baseline"/>
                <w:lang w:val="en-US" w:eastAsia="zh-CN"/>
              </w:rPr>
            </w:pPr>
            <w:r>
              <w:rPr>
                <w:rFonts w:hint="eastAsia"/>
                <w:b/>
                <w:bCs/>
                <w:vertAlign w:val="baseline"/>
                <w:lang w:val="en-US" w:eastAsia="zh-CN"/>
              </w:rPr>
              <w:t>1.4</w:t>
            </w:r>
          </w:p>
        </w:tc>
      </w:tr>
      <w:tr w14:paraId="6A057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A0785F">
            <w:pPr>
              <w:jc w:val="left"/>
              <w:rPr>
                <w:rFonts w:hint="eastAsia"/>
                <w:b/>
                <w:bCs/>
                <w:vertAlign w:val="baseline"/>
                <w:lang w:val="en-US" w:eastAsia="zh-CN"/>
              </w:rPr>
            </w:pPr>
          </w:p>
        </w:tc>
        <w:tc>
          <w:tcPr>
            <w:tcW w:w="9097" w:type="dxa"/>
            <w:vAlign w:val="center"/>
          </w:tcPr>
          <w:p w14:paraId="3D101417">
            <w:pPr>
              <w:numPr>
                <w:ilvl w:val="0"/>
                <w:numId w:val="0"/>
              </w:numPr>
              <w:ind w:leftChars="0"/>
              <w:jc w:val="both"/>
              <w:rPr>
                <w:rFonts w:hint="eastAsia"/>
                <w:b w:val="0"/>
                <w:bCs w:val="0"/>
                <w:color w:val="FF0000"/>
                <w:sz w:val="18"/>
                <w:szCs w:val="18"/>
                <w:lang w:val="en-US" w:eastAsia="zh-CN"/>
              </w:rPr>
            </w:pPr>
            <w:r>
              <w:rPr>
                <w:rFonts w:hint="eastAsia"/>
                <w:sz w:val="21"/>
                <w:szCs w:val="21"/>
                <w:lang w:val="en-US" w:eastAsia="zh-CN"/>
              </w:rPr>
              <w:t>9.</w:t>
            </w:r>
            <w:r>
              <w:rPr>
                <w:rFonts w:hint="eastAsia"/>
                <w:sz w:val="21"/>
                <w:szCs w:val="21"/>
                <w:lang w:eastAsia="zh-CN"/>
              </w:rPr>
              <w:t>“微思政”在高校思想政治教育中的有效利用，</w:t>
            </w:r>
            <w:r>
              <w:rPr>
                <w:rFonts w:hint="eastAsia"/>
                <w:kern w:val="0"/>
                <w:sz w:val="21"/>
                <w:szCs w:val="21"/>
                <w:lang w:eastAsia="zh-CN"/>
              </w:rPr>
              <w:t>延边教育学院学报，</w:t>
            </w:r>
            <w:r>
              <w:rPr>
                <w:rFonts w:hint="eastAsia"/>
                <w:kern w:val="0"/>
                <w:sz w:val="21"/>
                <w:szCs w:val="21"/>
                <w:lang w:val="en-US" w:eastAsia="zh-CN"/>
              </w:rPr>
              <w:t>2020，合著（排1），一般刊物，学术期刊第一批2331号；</w:t>
            </w:r>
          </w:p>
        </w:tc>
        <w:tc>
          <w:tcPr>
            <w:tcW w:w="1511" w:type="dxa"/>
            <w:vAlign w:val="center"/>
          </w:tcPr>
          <w:p w14:paraId="01C501D4">
            <w:pPr>
              <w:jc w:val="center"/>
              <w:rPr>
                <w:rFonts w:hint="eastAsia"/>
                <w:b/>
                <w:bCs/>
                <w:vertAlign w:val="baseline"/>
                <w:lang w:val="en-US" w:eastAsia="zh-CN"/>
              </w:rPr>
            </w:pPr>
            <w:r>
              <w:rPr>
                <w:rFonts w:hint="eastAsia"/>
                <w:color w:val="000000"/>
                <w:vertAlign w:val="baseline"/>
                <w:lang w:val="en-US" w:eastAsia="zh-CN"/>
              </w:rPr>
              <w:t>73-75</w:t>
            </w:r>
          </w:p>
        </w:tc>
        <w:tc>
          <w:tcPr>
            <w:tcW w:w="1318" w:type="dxa"/>
            <w:vAlign w:val="center"/>
          </w:tcPr>
          <w:p w14:paraId="66720247">
            <w:pPr>
              <w:jc w:val="center"/>
              <w:rPr>
                <w:rFonts w:hint="eastAsia"/>
                <w:b/>
                <w:bCs/>
                <w:vertAlign w:val="baseline"/>
                <w:lang w:val="en-US" w:eastAsia="zh-CN"/>
              </w:rPr>
            </w:pPr>
            <w:r>
              <w:rPr>
                <w:rFonts w:hint="eastAsia"/>
                <w:color w:val="000000"/>
                <w:vertAlign w:val="baseline"/>
                <w:lang w:val="en-US" w:eastAsia="zh-CN"/>
              </w:rPr>
              <w:t>1.4</w:t>
            </w:r>
          </w:p>
        </w:tc>
        <w:tc>
          <w:tcPr>
            <w:tcW w:w="1510" w:type="dxa"/>
            <w:vAlign w:val="center"/>
          </w:tcPr>
          <w:p w14:paraId="7FD7C4B4">
            <w:pPr>
              <w:jc w:val="center"/>
              <w:rPr>
                <w:rFonts w:hint="default"/>
                <w:b/>
                <w:bCs/>
                <w:vertAlign w:val="baseline"/>
                <w:lang w:val="en-US" w:eastAsia="zh-CN"/>
              </w:rPr>
            </w:pPr>
            <w:r>
              <w:rPr>
                <w:rFonts w:hint="eastAsia"/>
                <w:b/>
                <w:bCs/>
                <w:vertAlign w:val="baseline"/>
                <w:lang w:val="en-US" w:eastAsia="zh-CN"/>
              </w:rPr>
              <w:t>1.4</w:t>
            </w:r>
          </w:p>
        </w:tc>
      </w:tr>
      <w:tr w14:paraId="142B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250D412">
            <w:pPr>
              <w:jc w:val="left"/>
              <w:rPr>
                <w:rFonts w:hint="eastAsia"/>
                <w:b/>
                <w:bCs/>
                <w:vertAlign w:val="baseline"/>
                <w:lang w:val="en-US" w:eastAsia="zh-CN"/>
              </w:rPr>
            </w:pPr>
          </w:p>
        </w:tc>
        <w:tc>
          <w:tcPr>
            <w:tcW w:w="9097" w:type="dxa"/>
            <w:vAlign w:val="center"/>
          </w:tcPr>
          <w:p w14:paraId="04485E1D">
            <w:pPr>
              <w:numPr>
                <w:ilvl w:val="0"/>
                <w:numId w:val="0"/>
              </w:numPr>
              <w:ind w:left="0" w:leftChars="0" w:firstLine="0" w:firstLineChars="0"/>
              <w:jc w:val="both"/>
              <w:rPr>
                <w:rFonts w:hint="eastAsia"/>
                <w:b w:val="0"/>
                <w:bCs w:val="0"/>
                <w:color w:val="FF0000"/>
                <w:sz w:val="18"/>
                <w:szCs w:val="18"/>
                <w:lang w:val="en-US" w:eastAsia="zh-CN"/>
              </w:rPr>
            </w:pPr>
            <w:r>
              <w:rPr>
                <w:rFonts w:hint="eastAsia" w:ascii="宋体" w:hAnsi="宋体" w:cs="宋体"/>
                <w:kern w:val="0"/>
                <w:sz w:val="21"/>
                <w:szCs w:val="21"/>
                <w:lang w:val="en-US" w:eastAsia="zh-CN"/>
              </w:rPr>
              <w:t>10.</w:t>
            </w:r>
            <w:r>
              <w:rPr>
                <w:rFonts w:hint="eastAsia" w:ascii="宋体" w:hAnsi="宋体" w:cs="宋体"/>
                <w:kern w:val="0"/>
                <w:sz w:val="21"/>
                <w:szCs w:val="21"/>
                <w:lang w:eastAsia="zh-CN"/>
              </w:rPr>
              <w:t>推动老年教育撬动“银发”产业，湖南日报理论版，</w:t>
            </w:r>
            <w:r>
              <w:rPr>
                <w:rFonts w:hint="eastAsia" w:ascii="宋体" w:hAnsi="宋体" w:cs="宋体"/>
                <w:kern w:val="0"/>
                <w:sz w:val="21"/>
                <w:szCs w:val="21"/>
                <w:lang w:val="en-US" w:eastAsia="zh-CN"/>
              </w:rPr>
              <w:t>2023，合著（排2），中文核心；</w:t>
            </w:r>
          </w:p>
        </w:tc>
        <w:tc>
          <w:tcPr>
            <w:tcW w:w="1511" w:type="dxa"/>
            <w:vAlign w:val="center"/>
          </w:tcPr>
          <w:p w14:paraId="0CF3D2CA">
            <w:pPr>
              <w:jc w:val="center"/>
              <w:rPr>
                <w:rFonts w:hint="eastAsia"/>
                <w:b/>
                <w:bCs/>
                <w:vertAlign w:val="baseline"/>
                <w:lang w:val="en-US" w:eastAsia="zh-CN"/>
              </w:rPr>
            </w:pPr>
            <w:r>
              <w:rPr>
                <w:rFonts w:hint="eastAsia"/>
                <w:color w:val="000000"/>
                <w:vertAlign w:val="baseline"/>
                <w:lang w:val="en-US" w:eastAsia="zh-CN"/>
              </w:rPr>
              <w:t>76-77</w:t>
            </w:r>
          </w:p>
        </w:tc>
        <w:tc>
          <w:tcPr>
            <w:tcW w:w="1318" w:type="dxa"/>
            <w:vAlign w:val="center"/>
          </w:tcPr>
          <w:p w14:paraId="5312B92E">
            <w:pPr>
              <w:jc w:val="center"/>
              <w:rPr>
                <w:rFonts w:hint="eastAsia"/>
                <w:b/>
                <w:bCs/>
                <w:vertAlign w:val="baseline"/>
                <w:lang w:val="en-US" w:eastAsia="zh-CN"/>
              </w:rPr>
            </w:pPr>
            <w:r>
              <w:rPr>
                <w:rFonts w:hint="eastAsia"/>
                <w:color w:val="000000"/>
                <w:vertAlign w:val="baseline"/>
                <w:lang w:val="en-US" w:eastAsia="zh-CN"/>
              </w:rPr>
              <w:t>1.2</w:t>
            </w:r>
          </w:p>
        </w:tc>
        <w:tc>
          <w:tcPr>
            <w:tcW w:w="1510" w:type="dxa"/>
            <w:vAlign w:val="center"/>
          </w:tcPr>
          <w:p w14:paraId="0702DE65">
            <w:pPr>
              <w:jc w:val="center"/>
              <w:rPr>
                <w:rFonts w:hint="default"/>
                <w:b/>
                <w:bCs/>
                <w:vertAlign w:val="baseline"/>
                <w:lang w:val="en-US" w:eastAsia="zh-CN"/>
              </w:rPr>
            </w:pPr>
            <w:r>
              <w:rPr>
                <w:rFonts w:hint="eastAsia"/>
                <w:b/>
                <w:bCs/>
                <w:vertAlign w:val="baseline"/>
                <w:lang w:val="en-US" w:eastAsia="zh-CN"/>
              </w:rPr>
              <w:t>1.2</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2AD7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579077">
            <w:pPr>
              <w:jc w:val="left"/>
              <w:rPr>
                <w:rFonts w:hint="eastAsia"/>
                <w:b/>
                <w:bCs/>
                <w:vertAlign w:val="baseline"/>
                <w:lang w:val="en-US" w:eastAsia="zh-CN"/>
              </w:rPr>
            </w:pPr>
          </w:p>
        </w:tc>
        <w:tc>
          <w:tcPr>
            <w:tcW w:w="9097" w:type="dxa"/>
            <w:vAlign w:val="center"/>
          </w:tcPr>
          <w:p w14:paraId="5F9E953D">
            <w:pPr>
              <w:numPr>
                <w:ilvl w:val="0"/>
                <w:numId w:val="0"/>
              </w:numPr>
              <w:ind w:left="0" w:leftChars="0" w:firstLine="0" w:firstLineChars="0"/>
              <w:jc w:val="both"/>
              <w:rPr>
                <w:rFonts w:hint="eastAsia"/>
                <w:b w:val="0"/>
                <w:bCs w:val="0"/>
                <w:color w:val="FF0000"/>
                <w:szCs w:val="21"/>
                <w:lang w:val="en-US" w:eastAsia="zh-CN"/>
              </w:rPr>
            </w:pPr>
            <w:r>
              <w:rPr>
                <w:rFonts w:hint="eastAsia" w:ascii="宋体" w:hAnsi="宋体"/>
                <w:sz w:val="21"/>
                <w:szCs w:val="21"/>
                <w:lang w:val="en-US" w:eastAsia="zh-CN"/>
              </w:rPr>
              <w:t>1.思想政教育方法规律研究，湖南人民出版社，2016，独著，专著</w:t>
            </w:r>
            <w:r>
              <w:rPr>
                <w:rFonts w:hint="eastAsia" w:ascii="宋体" w:hAnsi="宋体"/>
                <w:b/>
                <w:bCs/>
                <w:sz w:val="21"/>
                <w:szCs w:val="21"/>
                <w:lang w:val="en-US" w:eastAsia="zh-CN"/>
              </w:rPr>
              <w:t>（代表作1）</w:t>
            </w:r>
            <w:r>
              <w:rPr>
                <w:rFonts w:hint="eastAsia" w:ascii="宋体" w:hAnsi="宋体"/>
                <w:sz w:val="21"/>
                <w:szCs w:val="21"/>
                <w:lang w:val="en-US" w:eastAsia="zh-CN"/>
              </w:rPr>
              <w:t>；</w:t>
            </w:r>
          </w:p>
        </w:tc>
        <w:tc>
          <w:tcPr>
            <w:tcW w:w="1511" w:type="dxa"/>
            <w:vAlign w:val="center"/>
          </w:tcPr>
          <w:p w14:paraId="595812FD">
            <w:pPr>
              <w:jc w:val="center"/>
              <w:rPr>
                <w:rFonts w:hint="eastAsia"/>
                <w:b/>
                <w:bCs/>
                <w:vertAlign w:val="baseline"/>
                <w:lang w:val="en-US" w:eastAsia="zh-CN"/>
              </w:rPr>
            </w:pPr>
            <w:r>
              <w:rPr>
                <w:rFonts w:hint="eastAsia"/>
                <w:color w:val="000000"/>
                <w:vertAlign w:val="baseline"/>
                <w:lang w:val="en-US" w:eastAsia="zh-CN"/>
              </w:rPr>
              <w:t>80-87</w:t>
            </w:r>
          </w:p>
        </w:tc>
        <w:tc>
          <w:tcPr>
            <w:tcW w:w="1318" w:type="dxa"/>
            <w:vAlign w:val="center"/>
          </w:tcPr>
          <w:p w14:paraId="0B2D628D">
            <w:pPr>
              <w:jc w:val="center"/>
              <w:rPr>
                <w:rFonts w:hint="eastAsia"/>
                <w:b/>
                <w:bCs/>
                <w:vertAlign w:val="baseline"/>
                <w:lang w:val="en-US" w:eastAsia="zh-CN"/>
              </w:rPr>
            </w:pPr>
            <w:r>
              <w:rPr>
                <w:rFonts w:hint="eastAsia"/>
                <w:color w:val="000000"/>
                <w:vertAlign w:val="baseline"/>
                <w:lang w:val="en-US" w:eastAsia="zh-CN"/>
              </w:rPr>
              <w:t>15</w:t>
            </w:r>
          </w:p>
        </w:tc>
        <w:tc>
          <w:tcPr>
            <w:tcW w:w="1510" w:type="dxa"/>
            <w:vAlign w:val="center"/>
          </w:tcPr>
          <w:p w14:paraId="7C401FFE">
            <w:pPr>
              <w:jc w:val="center"/>
              <w:rPr>
                <w:rFonts w:hint="default"/>
                <w:b/>
                <w:bCs/>
                <w:vertAlign w:val="baseline"/>
                <w:lang w:val="en-US" w:eastAsia="zh-CN"/>
              </w:rPr>
            </w:pPr>
            <w:r>
              <w:rPr>
                <w:rFonts w:hint="eastAsia"/>
                <w:b/>
                <w:bCs/>
                <w:vertAlign w:val="baseline"/>
                <w:lang w:val="en-US" w:eastAsia="zh-CN"/>
              </w:rPr>
              <w:t>15</w:t>
            </w: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762AC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8B7E26A">
            <w:pPr>
              <w:jc w:val="left"/>
              <w:rPr>
                <w:rFonts w:hint="eastAsia"/>
                <w:b/>
                <w:bCs/>
                <w:vertAlign w:val="baseline"/>
                <w:lang w:val="en-US" w:eastAsia="zh-CN"/>
              </w:rPr>
            </w:pPr>
          </w:p>
        </w:tc>
        <w:tc>
          <w:tcPr>
            <w:tcW w:w="9097" w:type="dxa"/>
            <w:vAlign w:val="center"/>
          </w:tcPr>
          <w:p w14:paraId="75FB254E">
            <w:pPr>
              <w:jc w:val="both"/>
              <w:rPr>
                <w:rFonts w:hint="eastAsia"/>
                <w:b w:val="0"/>
                <w:bCs w:val="0"/>
                <w:color w:val="FF0000"/>
                <w:vertAlign w:val="baseline"/>
                <w:lang w:eastAsia="zh-CN"/>
              </w:rPr>
            </w:pPr>
            <w:r>
              <w:rPr>
                <w:rFonts w:hint="eastAsia" w:ascii="宋体" w:hAnsi="宋体"/>
                <w:sz w:val="21"/>
                <w:szCs w:val="21"/>
                <w:lang w:val="en-US" w:eastAsia="zh-CN"/>
              </w:rPr>
              <w:t>1.</w:t>
            </w:r>
            <w:r>
              <w:rPr>
                <w:rFonts w:hint="default" w:ascii="宋体" w:hAnsi="宋体"/>
                <w:sz w:val="21"/>
                <w:szCs w:val="21"/>
                <w:lang w:val="en-US" w:eastAsia="zh-CN"/>
              </w:rPr>
              <w:t>老年人掌上智慧生活</w:t>
            </w:r>
            <w:r>
              <w:rPr>
                <w:rFonts w:hint="eastAsia" w:ascii="宋体" w:hAnsi="宋体"/>
                <w:sz w:val="21"/>
                <w:szCs w:val="21"/>
                <w:lang w:val="en-US" w:eastAsia="zh-CN"/>
              </w:rPr>
              <w:t>，国家开放大学出版社，2021，合著（排1），教材，学校与出版社签订了协议；</w:t>
            </w:r>
          </w:p>
        </w:tc>
        <w:tc>
          <w:tcPr>
            <w:tcW w:w="1511" w:type="dxa"/>
            <w:vAlign w:val="center"/>
          </w:tcPr>
          <w:p w14:paraId="6EB207A3">
            <w:pPr>
              <w:jc w:val="center"/>
              <w:rPr>
                <w:rFonts w:hint="eastAsia"/>
                <w:b/>
                <w:bCs/>
                <w:vertAlign w:val="baseline"/>
                <w:lang w:val="en-US" w:eastAsia="zh-CN"/>
              </w:rPr>
            </w:pPr>
            <w:r>
              <w:rPr>
                <w:rFonts w:hint="eastAsia"/>
                <w:color w:val="000000"/>
                <w:vertAlign w:val="baseline"/>
                <w:lang w:val="en-US" w:eastAsia="zh-CN"/>
              </w:rPr>
              <w:t>88-93</w:t>
            </w:r>
          </w:p>
        </w:tc>
        <w:tc>
          <w:tcPr>
            <w:tcW w:w="1318" w:type="dxa"/>
            <w:vAlign w:val="center"/>
          </w:tcPr>
          <w:p w14:paraId="5F97D03A">
            <w:pPr>
              <w:jc w:val="center"/>
              <w:rPr>
                <w:rFonts w:hint="default"/>
                <w:b/>
                <w:bCs/>
                <w:vertAlign w:val="baseline"/>
                <w:lang w:val="en-US" w:eastAsia="zh-CN"/>
              </w:rPr>
            </w:pPr>
            <w:r>
              <w:rPr>
                <w:rFonts w:hint="eastAsia"/>
                <w:b/>
                <w:bCs/>
                <w:vertAlign w:val="baseline"/>
                <w:lang w:val="en-US" w:eastAsia="zh-CN"/>
              </w:rPr>
              <w:t>3.5</w:t>
            </w:r>
          </w:p>
        </w:tc>
        <w:tc>
          <w:tcPr>
            <w:tcW w:w="1510" w:type="dxa"/>
            <w:vAlign w:val="center"/>
          </w:tcPr>
          <w:p w14:paraId="55AD4336">
            <w:pPr>
              <w:jc w:val="center"/>
              <w:rPr>
                <w:rFonts w:hint="default"/>
                <w:b/>
                <w:bCs/>
                <w:vertAlign w:val="baseline"/>
                <w:lang w:val="en-US" w:eastAsia="zh-CN"/>
              </w:rPr>
            </w:pPr>
            <w:r>
              <w:rPr>
                <w:rFonts w:hint="eastAsia"/>
                <w:b/>
                <w:bCs/>
                <w:vertAlign w:val="baseline"/>
                <w:lang w:val="en-US" w:eastAsia="zh-CN"/>
              </w:rPr>
              <w:t>3.5</w:t>
            </w:r>
          </w:p>
        </w:tc>
      </w:tr>
      <w:tr w14:paraId="6445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C3B49A">
            <w:pPr>
              <w:jc w:val="left"/>
              <w:rPr>
                <w:rFonts w:hint="eastAsia"/>
                <w:b/>
                <w:bCs/>
                <w:vertAlign w:val="baseline"/>
                <w:lang w:val="en-US" w:eastAsia="zh-CN"/>
              </w:rPr>
            </w:pPr>
          </w:p>
        </w:tc>
        <w:tc>
          <w:tcPr>
            <w:tcW w:w="9097" w:type="dxa"/>
            <w:vAlign w:val="center"/>
          </w:tcPr>
          <w:p w14:paraId="72463B31">
            <w:pPr>
              <w:numPr>
                <w:ilvl w:val="0"/>
                <w:numId w:val="0"/>
              </w:numPr>
              <w:ind w:left="0" w:leftChars="0" w:firstLine="0" w:firstLineChars="0"/>
              <w:jc w:val="both"/>
              <w:rPr>
                <w:rFonts w:hint="eastAsia"/>
                <w:b w:val="0"/>
                <w:bCs w:val="0"/>
                <w:color w:val="FF0000"/>
                <w:vertAlign w:val="baseline"/>
                <w:lang w:eastAsia="zh-CN"/>
              </w:rPr>
            </w:pPr>
            <w:r>
              <w:rPr>
                <w:rFonts w:hint="eastAsia" w:ascii="宋体" w:hAnsi="宋体" w:cs="宋体"/>
                <w:kern w:val="0"/>
                <w:sz w:val="21"/>
                <w:szCs w:val="21"/>
                <w:lang w:val="en-US" w:eastAsia="zh-CN"/>
              </w:rPr>
              <w:t>2.新时代数字生活手册——微信社交篇，国家开放大学出版社，2022，合著（排1），有立项文件；</w:t>
            </w:r>
          </w:p>
        </w:tc>
        <w:tc>
          <w:tcPr>
            <w:tcW w:w="1511" w:type="dxa"/>
            <w:vAlign w:val="center"/>
          </w:tcPr>
          <w:p w14:paraId="69F8A635">
            <w:pPr>
              <w:jc w:val="center"/>
              <w:rPr>
                <w:rFonts w:hint="eastAsia"/>
                <w:b/>
                <w:bCs/>
                <w:vertAlign w:val="baseline"/>
                <w:lang w:val="en-US" w:eastAsia="zh-CN"/>
              </w:rPr>
            </w:pPr>
            <w:r>
              <w:rPr>
                <w:rFonts w:hint="eastAsia"/>
                <w:color w:val="000000"/>
                <w:vertAlign w:val="baseline"/>
                <w:lang w:val="en-US" w:eastAsia="zh-CN"/>
              </w:rPr>
              <w:t>94-101</w:t>
            </w:r>
          </w:p>
        </w:tc>
        <w:tc>
          <w:tcPr>
            <w:tcW w:w="1318" w:type="dxa"/>
            <w:vAlign w:val="center"/>
          </w:tcPr>
          <w:p w14:paraId="14E83023">
            <w:pPr>
              <w:jc w:val="center"/>
              <w:rPr>
                <w:rFonts w:hint="default"/>
                <w:b/>
                <w:bCs/>
                <w:vertAlign w:val="baseline"/>
                <w:lang w:val="en-US" w:eastAsia="zh-CN"/>
              </w:rPr>
            </w:pPr>
            <w:r>
              <w:rPr>
                <w:rFonts w:hint="eastAsia"/>
                <w:b/>
                <w:bCs/>
                <w:vertAlign w:val="baseline"/>
                <w:lang w:val="en-US" w:eastAsia="zh-CN"/>
              </w:rPr>
              <w:t>3.5</w:t>
            </w:r>
          </w:p>
        </w:tc>
        <w:tc>
          <w:tcPr>
            <w:tcW w:w="1510" w:type="dxa"/>
            <w:vAlign w:val="center"/>
          </w:tcPr>
          <w:p w14:paraId="71212816">
            <w:pPr>
              <w:jc w:val="center"/>
              <w:rPr>
                <w:rFonts w:hint="default"/>
                <w:b/>
                <w:bCs/>
                <w:vertAlign w:val="baseline"/>
                <w:lang w:val="en-US" w:eastAsia="zh-CN"/>
              </w:rPr>
            </w:pPr>
            <w:r>
              <w:rPr>
                <w:rFonts w:hint="eastAsia"/>
                <w:b/>
                <w:bCs/>
                <w:vertAlign w:val="baseline"/>
                <w:lang w:val="en-US" w:eastAsia="zh-CN"/>
              </w:rPr>
              <w:t>3.5</w:t>
            </w:r>
          </w:p>
        </w:tc>
      </w:tr>
      <w:tr w14:paraId="3C27CFD6">
        <w:tblPrEx>
          <w:tblCellMar>
            <w:top w:w="0" w:type="dxa"/>
            <w:left w:w="108" w:type="dxa"/>
            <w:bottom w:w="0" w:type="dxa"/>
            <w:right w:w="108" w:type="dxa"/>
          </w:tblCellMar>
        </w:tblPrEx>
        <w:trPr>
          <w:trHeight w:val="482" w:hRule="atLeast"/>
        </w:trPr>
        <w:tc>
          <w:tcPr>
            <w:tcW w:w="738" w:type="dxa"/>
            <w:vAlign w:val="center"/>
          </w:tcPr>
          <w:p w14:paraId="402F502F">
            <w:pPr>
              <w:jc w:val="left"/>
              <w:rPr>
                <w:rFonts w:hint="eastAsia"/>
                <w:b/>
                <w:bCs/>
                <w:vertAlign w:val="baseline"/>
                <w:lang w:val="en-US" w:eastAsia="zh-CN"/>
              </w:rPr>
            </w:pPr>
          </w:p>
        </w:tc>
        <w:tc>
          <w:tcPr>
            <w:tcW w:w="9097" w:type="dxa"/>
            <w:vAlign w:val="center"/>
          </w:tcPr>
          <w:p w14:paraId="3EB59DD8">
            <w:pPr>
              <w:numPr>
                <w:ilvl w:val="0"/>
                <w:numId w:val="0"/>
              </w:numPr>
              <w:ind w:left="0" w:leftChars="0" w:firstLine="0" w:firstLineChars="0"/>
              <w:jc w:val="both"/>
              <w:rPr>
                <w:rFonts w:hint="eastAsia"/>
                <w:b w:val="0"/>
                <w:bCs w:val="0"/>
                <w:color w:val="FF0000"/>
                <w:vertAlign w:val="baseline"/>
                <w:lang w:eastAsia="zh-CN"/>
              </w:rPr>
            </w:pPr>
            <w:r>
              <w:rPr>
                <w:rFonts w:hint="eastAsia" w:ascii="宋体" w:hAnsi="宋体"/>
                <w:sz w:val="21"/>
                <w:szCs w:val="21"/>
                <w:lang w:val="en-US" w:eastAsia="zh-CN"/>
              </w:rPr>
              <w:t>3.</w:t>
            </w:r>
            <w:r>
              <w:rPr>
                <w:rFonts w:hint="default" w:ascii="宋体" w:hAnsi="宋体"/>
                <w:sz w:val="21"/>
                <w:szCs w:val="21"/>
                <w:lang w:val="en-US" w:eastAsia="zh-CN"/>
              </w:rPr>
              <w:t>老年人爱法律之民法典—继承篇</w:t>
            </w:r>
            <w:r>
              <w:rPr>
                <w:rFonts w:hint="eastAsia" w:ascii="宋体" w:hAnsi="宋体"/>
                <w:sz w:val="21"/>
                <w:szCs w:val="21"/>
                <w:lang w:val="en-US" w:eastAsia="zh-CN"/>
              </w:rPr>
              <w:t>，国家开放大学出版社，2022，合著（排2），没有立项文件；</w:t>
            </w:r>
          </w:p>
        </w:tc>
        <w:tc>
          <w:tcPr>
            <w:tcW w:w="1511" w:type="dxa"/>
            <w:vAlign w:val="center"/>
          </w:tcPr>
          <w:p w14:paraId="70CE08E9">
            <w:pPr>
              <w:jc w:val="center"/>
              <w:rPr>
                <w:rFonts w:hint="eastAsia"/>
                <w:b/>
                <w:bCs/>
                <w:vertAlign w:val="baseline"/>
                <w:lang w:val="en-US" w:eastAsia="zh-CN"/>
              </w:rPr>
            </w:pPr>
            <w:r>
              <w:rPr>
                <w:rFonts w:hint="eastAsia"/>
                <w:color w:val="000000"/>
                <w:vertAlign w:val="baseline"/>
                <w:lang w:val="en-US" w:eastAsia="zh-CN"/>
              </w:rPr>
              <w:t>102-106</w:t>
            </w:r>
          </w:p>
        </w:tc>
        <w:tc>
          <w:tcPr>
            <w:tcW w:w="1318" w:type="dxa"/>
            <w:vAlign w:val="center"/>
          </w:tcPr>
          <w:p w14:paraId="0BE11ACC">
            <w:pPr>
              <w:jc w:val="center"/>
              <w:rPr>
                <w:rFonts w:hint="default"/>
                <w:b/>
                <w:bCs/>
                <w:vertAlign w:val="baseline"/>
                <w:lang w:val="en-US" w:eastAsia="zh-CN"/>
              </w:rPr>
            </w:pPr>
            <w:r>
              <w:rPr>
                <w:rFonts w:hint="eastAsia"/>
                <w:b/>
                <w:bCs/>
                <w:vertAlign w:val="baseline"/>
                <w:lang w:val="en-US" w:eastAsia="zh-CN"/>
              </w:rPr>
              <w:t>0.96</w:t>
            </w:r>
          </w:p>
        </w:tc>
        <w:tc>
          <w:tcPr>
            <w:tcW w:w="1510" w:type="dxa"/>
            <w:vAlign w:val="center"/>
          </w:tcPr>
          <w:p w14:paraId="295CCE7F">
            <w:pPr>
              <w:jc w:val="center"/>
              <w:rPr>
                <w:rFonts w:hint="default"/>
                <w:b/>
                <w:bCs/>
                <w:vertAlign w:val="baseline"/>
                <w:lang w:val="en-US" w:eastAsia="zh-CN"/>
              </w:rPr>
            </w:pPr>
            <w:r>
              <w:rPr>
                <w:rFonts w:hint="eastAsia"/>
                <w:b/>
                <w:bCs/>
                <w:vertAlign w:val="baseline"/>
                <w:lang w:val="en-US" w:eastAsia="zh-CN"/>
              </w:rPr>
              <w:t>0.9</w:t>
            </w:r>
          </w:p>
        </w:tc>
      </w:tr>
      <w:tr w14:paraId="6CB4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D945575">
            <w:pPr>
              <w:jc w:val="left"/>
              <w:rPr>
                <w:rFonts w:hint="eastAsia"/>
                <w:b/>
                <w:bCs/>
                <w:vertAlign w:val="baseline"/>
                <w:lang w:val="en-US" w:eastAsia="zh-CN"/>
              </w:rPr>
            </w:pPr>
          </w:p>
        </w:tc>
        <w:tc>
          <w:tcPr>
            <w:tcW w:w="9097" w:type="dxa"/>
            <w:vAlign w:val="center"/>
          </w:tcPr>
          <w:p w14:paraId="16253227">
            <w:pPr>
              <w:numPr>
                <w:ilvl w:val="0"/>
                <w:numId w:val="0"/>
              </w:numPr>
              <w:ind w:left="0" w:leftChars="0" w:firstLine="0" w:firstLineChars="0"/>
              <w:jc w:val="both"/>
              <w:rPr>
                <w:rFonts w:hint="eastAsia"/>
                <w:b w:val="0"/>
                <w:bCs w:val="0"/>
                <w:color w:val="FF0000"/>
                <w:vertAlign w:val="baseline"/>
                <w:lang w:eastAsia="zh-CN"/>
              </w:rPr>
            </w:pPr>
            <w:r>
              <w:rPr>
                <w:rFonts w:hint="eastAsia" w:ascii="宋体" w:hAnsi="宋体" w:cs="宋体"/>
                <w:kern w:val="0"/>
                <w:sz w:val="21"/>
                <w:szCs w:val="21"/>
                <w:lang w:val="en-US" w:eastAsia="zh-CN"/>
              </w:rPr>
              <w:t>4.新时代数字生活手册——移动金融篇，</w:t>
            </w:r>
            <w:r>
              <w:rPr>
                <w:rFonts w:hint="eastAsia" w:ascii="宋体" w:hAnsi="宋体"/>
                <w:sz w:val="21"/>
                <w:szCs w:val="21"/>
                <w:lang w:val="en-US" w:eastAsia="zh-CN"/>
              </w:rPr>
              <w:t>国家开放大学出版社，2022，合著（排2），有立项文件；</w:t>
            </w:r>
          </w:p>
        </w:tc>
        <w:tc>
          <w:tcPr>
            <w:tcW w:w="1511" w:type="dxa"/>
            <w:vAlign w:val="center"/>
          </w:tcPr>
          <w:p w14:paraId="2B857FEF">
            <w:pPr>
              <w:jc w:val="center"/>
              <w:rPr>
                <w:rFonts w:hint="eastAsia"/>
                <w:b/>
                <w:bCs/>
                <w:vertAlign w:val="baseline"/>
                <w:lang w:val="en-US" w:eastAsia="zh-CN"/>
              </w:rPr>
            </w:pPr>
            <w:r>
              <w:rPr>
                <w:rFonts w:hint="eastAsia"/>
                <w:color w:val="000000"/>
                <w:vertAlign w:val="baseline"/>
                <w:lang w:val="en-US" w:eastAsia="zh-CN"/>
              </w:rPr>
              <w:t>107-111</w:t>
            </w:r>
          </w:p>
        </w:tc>
        <w:tc>
          <w:tcPr>
            <w:tcW w:w="1318" w:type="dxa"/>
            <w:vAlign w:val="center"/>
          </w:tcPr>
          <w:p w14:paraId="4EA1E4A6">
            <w:pPr>
              <w:jc w:val="center"/>
              <w:rPr>
                <w:rFonts w:hint="eastAsia"/>
                <w:b/>
                <w:bCs/>
                <w:vertAlign w:val="baseline"/>
                <w:lang w:val="en-US" w:eastAsia="zh-CN"/>
              </w:rPr>
            </w:pPr>
            <w:r>
              <w:rPr>
                <w:rFonts w:hint="eastAsia"/>
                <w:color w:val="000000"/>
                <w:vertAlign w:val="baseline"/>
                <w:lang w:val="en-US" w:eastAsia="zh-CN"/>
              </w:rPr>
              <w:t>0.96</w:t>
            </w:r>
          </w:p>
        </w:tc>
        <w:tc>
          <w:tcPr>
            <w:tcW w:w="1510" w:type="dxa"/>
            <w:vAlign w:val="center"/>
          </w:tcPr>
          <w:p w14:paraId="3C88726A">
            <w:pPr>
              <w:jc w:val="center"/>
              <w:rPr>
                <w:rFonts w:hint="default"/>
                <w:b/>
                <w:bCs/>
                <w:vertAlign w:val="baseline"/>
                <w:lang w:val="en-US" w:eastAsia="zh-CN"/>
              </w:rPr>
            </w:pPr>
            <w:r>
              <w:rPr>
                <w:rFonts w:hint="eastAsia"/>
                <w:b/>
                <w:bCs/>
                <w:vertAlign w:val="baseline"/>
                <w:lang w:val="en-US" w:eastAsia="zh-CN"/>
              </w:rPr>
              <w:t>0.6</w:t>
            </w: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9097"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1511" w:type="dxa"/>
            <w:vAlign w:val="center"/>
          </w:tcPr>
          <w:p w14:paraId="130D65F7">
            <w:pPr>
              <w:jc w:val="left"/>
              <w:rPr>
                <w:rFonts w:hint="eastAsia"/>
                <w:b/>
                <w:bCs/>
                <w:vertAlign w:val="baseline"/>
                <w:lang w:val="en-US" w:eastAsia="zh-CN"/>
              </w:rPr>
            </w:pPr>
          </w:p>
        </w:tc>
        <w:tc>
          <w:tcPr>
            <w:tcW w:w="1318" w:type="dxa"/>
            <w:vAlign w:val="center"/>
          </w:tcPr>
          <w:p w14:paraId="54BDB487">
            <w:pPr>
              <w:jc w:val="left"/>
              <w:rPr>
                <w:rFonts w:hint="eastAsia"/>
                <w:b/>
                <w:bCs/>
                <w:vertAlign w:val="baseline"/>
                <w:lang w:val="en-US" w:eastAsia="zh-CN"/>
              </w:rPr>
            </w:pPr>
          </w:p>
        </w:tc>
        <w:tc>
          <w:tcPr>
            <w:tcW w:w="1510" w:type="dxa"/>
            <w:vAlign w:val="center"/>
          </w:tcPr>
          <w:p w14:paraId="7F6A515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01C91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50D156">
            <w:pPr>
              <w:jc w:val="left"/>
              <w:rPr>
                <w:rFonts w:hint="eastAsia"/>
                <w:b/>
                <w:bCs/>
                <w:vertAlign w:val="baseline"/>
                <w:lang w:val="en-US" w:eastAsia="zh-CN"/>
              </w:rPr>
            </w:pPr>
          </w:p>
        </w:tc>
        <w:tc>
          <w:tcPr>
            <w:tcW w:w="9097" w:type="dxa"/>
            <w:vAlign w:val="center"/>
          </w:tcPr>
          <w:p w14:paraId="32673E2B">
            <w:pPr>
              <w:numPr>
                <w:ilvl w:val="0"/>
                <w:numId w:val="0"/>
              </w:numPr>
              <w:ind w:left="0" w:leftChars="0" w:firstLine="0" w:firstLineChars="0"/>
              <w:jc w:val="both"/>
              <w:rPr>
                <w:rFonts w:hint="eastAsia"/>
                <w:b w:val="0"/>
                <w:bCs w:val="0"/>
                <w:color w:val="FF0000"/>
                <w:vertAlign w:val="baseline"/>
                <w:lang w:val="en-US" w:eastAsia="zh-CN"/>
              </w:rPr>
            </w:pPr>
            <w:r>
              <w:rPr>
                <w:rFonts w:hint="eastAsia"/>
                <w:kern w:val="0"/>
                <w:szCs w:val="21"/>
                <w:lang w:val="en-US" w:eastAsia="zh-CN"/>
              </w:rPr>
              <w:t>1.</w:t>
            </w:r>
            <w:r>
              <w:rPr>
                <w:rFonts w:hint="default"/>
                <w:kern w:val="0"/>
                <w:szCs w:val="21"/>
                <w:lang w:val="en-US" w:eastAsia="zh-CN"/>
              </w:rPr>
              <w:t>老年教育理论与实践研究</w:t>
            </w:r>
            <w:r>
              <w:rPr>
                <w:rFonts w:hint="eastAsia"/>
                <w:kern w:val="0"/>
                <w:szCs w:val="21"/>
                <w:lang w:val="en-US" w:eastAsia="zh-CN"/>
              </w:rPr>
              <w:t>，</w:t>
            </w:r>
            <w:r>
              <w:rPr>
                <w:rFonts w:hint="eastAsia" w:eastAsia="宋体"/>
                <w:kern w:val="0"/>
                <w:szCs w:val="21"/>
                <w:lang w:val="en-US" w:eastAsia="zh-CN"/>
              </w:rPr>
              <w:t>2022，湖南开放大学第三批科研创新团，主持，在建，参照省级项目计分；</w:t>
            </w:r>
          </w:p>
        </w:tc>
        <w:tc>
          <w:tcPr>
            <w:tcW w:w="1511" w:type="dxa"/>
            <w:vAlign w:val="center"/>
          </w:tcPr>
          <w:p w14:paraId="62E49AD3">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128-142</w:t>
            </w:r>
          </w:p>
        </w:tc>
        <w:tc>
          <w:tcPr>
            <w:tcW w:w="1318" w:type="dxa"/>
            <w:vAlign w:val="center"/>
          </w:tcPr>
          <w:p w14:paraId="38DFBED9">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4.2</w:t>
            </w:r>
          </w:p>
        </w:tc>
        <w:tc>
          <w:tcPr>
            <w:tcW w:w="1510" w:type="dxa"/>
            <w:vAlign w:val="center"/>
          </w:tcPr>
          <w:p w14:paraId="6EE7EFB3">
            <w:pPr>
              <w:jc w:val="center"/>
              <w:rPr>
                <w:rFonts w:hint="default"/>
                <w:b/>
                <w:bCs/>
                <w:vertAlign w:val="baseline"/>
                <w:lang w:val="en-US" w:eastAsia="zh-CN"/>
              </w:rPr>
            </w:pPr>
            <w:r>
              <w:rPr>
                <w:rFonts w:hint="eastAsia"/>
                <w:b/>
                <w:bCs/>
                <w:vertAlign w:val="baseline"/>
                <w:lang w:val="en-US" w:eastAsia="zh-CN"/>
              </w:rPr>
              <w:t>0</w:t>
            </w:r>
          </w:p>
        </w:tc>
      </w:tr>
      <w:tr w14:paraId="62C2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E65F753">
            <w:pPr>
              <w:jc w:val="left"/>
              <w:rPr>
                <w:rFonts w:hint="eastAsia"/>
                <w:b/>
                <w:bCs/>
                <w:vertAlign w:val="baseline"/>
                <w:lang w:val="en-US" w:eastAsia="zh-CN"/>
              </w:rPr>
            </w:pPr>
          </w:p>
        </w:tc>
        <w:tc>
          <w:tcPr>
            <w:tcW w:w="9097" w:type="dxa"/>
            <w:vAlign w:val="center"/>
          </w:tcPr>
          <w:p w14:paraId="58F5C418">
            <w:pPr>
              <w:numPr>
                <w:ilvl w:val="0"/>
                <w:numId w:val="0"/>
              </w:numPr>
              <w:ind w:left="0" w:leftChars="0" w:firstLine="0" w:firstLineChars="0"/>
              <w:jc w:val="both"/>
              <w:rPr>
                <w:rFonts w:hint="eastAsia"/>
                <w:b w:val="0"/>
                <w:bCs w:val="0"/>
                <w:color w:val="FF0000"/>
                <w:vertAlign w:val="baseline"/>
                <w:lang w:val="en-US" w:eastAsia="zh-CN"/>
              </w:rPr>
            </w:pPr>
            <w:r>
              <w:rPr>
                <w:rFonts w:hint="eastAsia" w:eastAsia="宋体"/>
                <w:kern w:val="0"/>
                <w:szCs w:val="21"/>
                <w:lang w:val="en-US" w:eastAsia="zh-CN"/>
              </w:rPr>
              <w:t>2.新时代高校思政课的政治引领及实现路径研究，2019年度湖南省哲学社会科学基金一般项目，19YBA254，主持，已报送结题材料；</w:t>
            </w:r>
          </w:p>
        </w:tc>
        <w:tc>
          <w:tcPr>
            <w:tcW w:w="1511" w:type="dxa"/>
            <w:vAlign w:val="center"/>
          </w:tcPr>
          <w:p w14:paraId="3353E7E8">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143-146</w:t>
            </w:r>
          </w:p>
        </w:tc>
        <w:tc>
          <w:tcPr>
            <w:tcW w:w="1318" w:type="dxa"/>
            <w:vAlign w:val="center"/>
          </w:tcPr>
          <w:p w14:paraId="171C547A">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4.2</w:t>
            </w:r>
          </w:p>
        </w:tc>
        <w:tc>
          <w:tcPr>
            <w:tcW w:w="1510" w:type="dxa"/>
            <w:vAlign w:val="center"/>
          </w:tcPr>
          <w:p w14:paraId="3089AC46">
            <w:pPr>
              <w:jc w:val="center"/>
              <w:rPr>
                <w:rFonts w:hint="default"/>
                <w:b/>
                <w:bCs/>
                <w:vertAlign w:val="baseline"/>
                <w:lang w:val="en-US" w:eastAsia="zh-CN"/>
              </w:rPr>
            </w:pPr>
            <w:r>
              <w:rPr>
                <w:rFonts w:hint="eastAsia"/>
                <w:b/>
                <w:bCs/>
                <w:vertAlign w:val="baseline"/>
                <w:lang w:val="en-US" w:eastAsia="zh-CN"/>
              </w:rPr>
              <w:t>4.2</w:t>
            </w:r>
          </w:p>
        </w:tc>
      </w:tr>
      <w:tr w14:paraId="3209B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24728C">
            <w:pPr>
              <w:jc w:val="left"/>
              <w:rPr>
                <w:rFonts w:hint="eastAsia"/>
                <w:b/>
                <w:bCs/>
                <w:vertAlign w:val="baseline"/>
                <w:lang w:val="en-US" w:eastAsia="zh-CN"/>
              </w:rPr>
            </w:pPr>
          </w:p>
        </w:tc>
        <w:tc>
          <w:tcPr>
            <w:tcW w:w="9097" w:type="dxa"/>
            <w:vAlign w:val="center"/>
          </w:tcPr>
          <w:p w14:paraId="4220CD2E">
            <w:pPr>
              <w:jc w:val="both"/>
              <w:rPr>
                <w:rFonts w:hint="eastAsia"/>
                <w:b w:val="0"/>
                <w:bCs w:val="0"/>
                <w:color w:val="FF0000"/>
                <w:vertAlign w:val="baseline"/>
                <w:lang w:val="en-US" w:eastAsia="zh-CN"/>
              </w:rPr>
            </w:pPr>
            <w:r>
              <w:rPr>
                <w:rFonts w:hint="eastAsia" w:eastAsia="宋体"/>
                <w:kern w:val="0"/>
                <w:szCs w:val="21"/>
                <w:lang w:val="en-US" w:eastAsia="zh-CN"/>
              </w:rPr>
              <w:t>3.终身学习视域下老年健康教育质量提升路径研究，湖南省教育科学“十四五”规划2022年度课题，XJK22BCR001，主持，在建；</w:t>
            </w:r>
          </w:p>
        </w:tc>
        <w:tc>
          <w:tcPr>
            <w:tcW w:w="1511" w:type="dxa"/>
            <w:vAlign w:val="center"/>
          </w:tcPr>
          <w:p w14:paraId="250D5208">
            <w:pPr>
              <w:jc w:val="center"/>
              <w:rPr>
                <w:rFonts w:hint="eastAsia"/>
                <w:b/>
                <w:bCs/>
                <w:vertAlign w:val="baseline"/>
                <w:lang w:val="en-US" w:eastAsia="zh-CN"/>
              </w:rPr>
            </w:pPr>
            <w:r>
              <w:rPr>
                <w:rFonts w:hint="eastAsia"/>
                <w:color w:val="000000"/>
                <w:vertAlign w:val="baseline"/>
                <w:lang w:val="en-US" w:eastAsia="zh-CN"/>
              </w:rPr>
              <w:t>147-150</w:t>
            </w:r>
          </w:p>
        </w:tc>
        <w:tc>
          <w:tcPr>
            <w:tcW w:w="1318" w:type="dxa"/>
            <w:vAlign w:val="center"/>
          </w:tcPr>
          <w:p w14:paraId="2A215F4E">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4.2</w:t>
            </w:r>
          </w:p>
        </w:tc>
        <w:tc>
          <w:tcPr>
            <w:tcW w:w="1510" w:type="dxa"/>
            <w:vAlign w:val="center"/>
          </w:tcPr>
          <w:p w14:paraId="7B4AC027">
            <w:pPr>
              <w:jc w:val="center"/>
              <w:rPr>
                <w:rFonts w:hint="default"/>
                <w:b/>
                <w:bCs/>
                <w:vertAlign w:val="baseline"/>
                <w:lang w:val="en-US" w:eastAsia="zh-CN"/>
              </w:rPr>
            </w:pPr>
            <w:r>
              <w:rPr>
                <w:rFonts w:hint="eastAsia"/>
                <w:b/>
                <w:bCs/>
                <w:vertAlign w:val="baseline"/>
                <w:lang w:val="en-US" w:eastAsia="zh-CN"/>
              </w:rPr>
              <w:t>4.2</w:t>
            </w:r>
          </w:p>
        </w:tc>
      </w:tr>
      <w:tr w14:paraId="7D63F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B71D2E0">
            <w:pPr>
              <w:jc w:val="left"/>
              <w:rPr>
                <w:rFonts w:hint="eastAsia"/>
                <w:b/>
                <w:bCs/>
                <w:vertAlign w:val="baseline"/>
                <w:lang w:val="en-US" w:eastAsia="zh-CN"/>
              </w:rPr>
            </w:pPr>
          </w:p>
        </w:tc>
        <w:tc>
          <w:tcPr>
            <w:tcW w:w="9097" w:type="dxa"/>
            <w:vAlign w:val="center"/>
          </w:tcPr>
          <w:p w14:paraId="765AB2C3">
            <w:pPr>
              <w:numPr>
                <w:ilvl w:val="0"/>
                <w:numId w:val="0"/>
              </w:numPr>
              <w:ind w:left="0" w:leftChars="0" w:firstLine="0" w:firstLineChars="0"/>
              <w:jc w:val="both"/>
              <w:rPr>
                <w:rFonts w:hint="eastAsia"/>
                <w:b w:val="0"/>
                <w:bCs w:val="0"/>
                <w:color w:val="FF0000"/>
                <w:vertAlign w:val="baseline"/>
                <w:lang w:val="en-US" w:eastAsia="zh-CN"/>
              </w:rPr>
            </w:pPr>
            <w:r>
              <w:rPr>
                <w:rFonts w:hint="eastAsia" w:eastAsia="宋体"/>
                <w:kern w:val="0"/>
                <w:szCs w:val="21"/>
                <w:lang w:val="en-US" w:eastAsia="zh-CN"/>
              </w:rPr>
              <w:t>4.老年教育资源建设与应用研究，2020 年度湖南省职业院校教育教学改革研究重点项目，ZJZD2020008，主持，已结题；</w:t>
            </w:r>
          </w:p>
        </w:tc>
        <w:tc>
          <w:tcPr>
            <w:tcW w:w="1511" w:type="dxa"/>
            <w:vAlign w:val="center"/>
          </w:tcPr>
          <w:p w14:paraId="1BAF7CB4">
            <w:pPr>
              <w:jc w:val="center"/>
              <w:rPr>
                <w:rFonts w:hint="eastAsia"/>
                <w:b/>
                <w:bCs/>
                <w:vertAlign w:val="baseline"/>
                <w:lang w:val="en-US" w:eastAsia="zh-CN"/>
              </w:rPr>
            </w:pPr>
            <w:r>
              <w:rPr>
                <w:rFonts w:hint="eastAsia"/>
                <w:color w:val="000000"/>
                <w:vertAlign w:val="baseline"/>
                <w:lang w:val="en-US" w:eastAsia="zh-CN"/>
              </w:rPr>
              <w:t>151-160</w:t>
            </w:r>
          </w:p>
        </w:tc>
        <w:tc>
          <w:tcPr>
            <w:tcW w:w="1318" w:type="dxa"/>
            <w:vAlign w:val="center"/>
          </w:tcPr>
          <w:p w14:paraId="5DCFF968">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10.5</w:t>
            </w:r>
          </w:p>
        </w:tc>
        <w:tc>
          <w:tcPr>
            <w:tcW w:w="1510" w:type="dxa"/>
            <w:vAlign w:val="center"/>
          </w:tcPr>
          <w:p w14:paraId="512E2D1B">
            <w:pPr>
              <w:jc w:val="center"/>
              <w:rPr>
                <w:rFonts w:hint="default"/>
                <w:b/>
                <w:bCs/>
                <w:vertAlign w:val="baseline"/>
                <w:lang w:val="en-US" w:eastAsia="zh-CN"/>
              </w:rPr>
            </w:pPr>
            <w:r>
              <w:rPr>
                <w:rFonts w:hint="eastAsia"/>
                <w:b/>
                <w:bCs/>
                <w:vertAlign w:val="baseline"/>
                <w:lang w:val="en-US" w:eastAsia="zh-CN"/>
              </w:rPr>
              <w:t>10.5</w:t>
            </w:r>
          </w:p>
        </w:tc>
      </w:tr>
      <w:tr w14:paraId="58A48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D476D0">
            <w:pPr>
              <w:jc w:val="left"/>
              <w:rPr>
                <w:rFonts w:hint="eastAsia"/>
                <w:b/>
                <w:bCs/>
                <w:vertAlign w:val="baseline"/>
                <w:lang w:val="en-US" w:eastAsia="zh-CN"/>
              </w:rPr>
            </w:pPr>
          </w:p>
        </w:tc>
        <w:tc>
          <w:tcPr>
            <w:tcW w:w="9097" w:type="dxa"/>
            <w:vAlign w:val="center"/>
          </w:tcPr>
          <w:p w14:paraId="7841719F">
            <w:pPr>
              <w:numPr>
                <w:ilvl w:val="0"/>
                <w:numId w:val="0"/>
              </w:numPr>
              <w:ind w:left="0" w:leftChars="0" w:firstLine="0" w:firstLineChars="0"/>
              <w:jc w:val="both"/>
              <w:rPr>
                <w:rFonts w:hint="eastAsia"/>
                <w:b w:val="0"/>
                <w:bCs w:val="0"/>
                <w:color w:val="FF0000"/>
                <w:vertAlign w:val="baseline"/>
                <w:lang w:val="en-US" w:eastAsia="zh-CN"/>
              </w:rPr>
            </w:pPr>
            <w:r>
              <w:rPr>
                <w:rFonts w:hint="eastAsia" w:eastAsia="宋体"/>
                <w:kern w:val="0"/>
                <w:szCs w:val="21"/>
                <w:lang w:val="en-US" w:eastAsia="zh-CN"/>
              </w:rPr>
              <w:t>5.“互联网+老年教育”服务模式研究与实践，2019 年度湖南省职业院校教育教学改革研究一般项目，ZJSB2019006，主持，已结题；</w:t>
            </w:r>
          </w:p>
        </w:tc>
        <w:tc>
          <w:tcPr>
            <w:tcW w:w="1511" w:type="dxa"/>
            <w:vAlign w:val="center"/>
          </w:tcPr>
          <w:p w14:paraId="44587584">
            <w:pPr>
              <w:jc w:val="center"/>
              <w:rPr>
                <w:rFonts w:hint="eastAsia"/>
                <w:b/>
                <w:bCs/>
                <w:vertAlign w:val="baseline"/>
                <w:lang w:val="en-US" w:eastAsia="zh-CN"/>
              </w:rPr>
            </w:pPr>
            <w:r>
              <w:rPr>
                <w:rFonts w:hint="eastAsia"/>
                <w:color w:val="000000"/>
                <w:vertAlign w:val="baseline"/>
                <w:lang w:val="en-US" w:eastAsia="zh-CN"/>
              </w:rPr>
              <w:t>161-167</w:t>
            </w:r>
          </w:p>
        </w:tc>
        <w:tc>
          <w:tcPr>
            <w:tcW w:w="1318" w:type="dxa"/>
            <w:vAlign w:val="center"/>
          </w:tcPr>
          <w:p w14:paraId="28F96F28">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7</w:t>
            </w:r>
          </w:p>
        </w:tc>
        <w:tc>
          <w:tcPr>
            <w:tcW w:w="1510" w:type="dxa"/>
            <w:vAlign w:val="center"/>
          </w:tcPr>
          <w:p w14:paraId="495909BE">
            <w:pPr>
              <w:jc w:val="center"/>
              <w:rPr>
                <w:rFonts w:hint="default"/>
                <w:b/>
                <w:bCs/>
                <w:vertAlign w:val="baseline"/>
                <w:lang w:val="en-US" w:eastAsia="zh-CN"/>
              </w:rPr>
            </w:pPr>
            <w:r>
              <w:rPr>
                <w:rFonts w:hint="eastAsia"/>
                <w:b/>
                <w:bCs/>
                <w:vertAlign w:val="baseline"/>
                <w:lang w:val="en-US" w:eastAsia="zh-CN"/>
              </w:rPr>
              <w:t>7</w:t>
            </w:r>
          </w:p>
        </w:tc>
      </w:tr>
      <w:tr w14:paraId="45D74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D11C22D">
            <w:pPr>
              <w:jc w:val="left"/>
              <w:rPr>
                <w:rFonts w:hint="eastAsia"/>
                <w:b/>
                <w:bCs/>
                <w:vertAlign w:val="baseline"/>
                <w:lang w:val="en-US" w:eastAsia="zh-CN"/>
              </w:rPr>
            </w:pPr>
          </w:p>
        </w:tc>
        <w:tc>
          <w:tcPr>
            <w:tcW w:w="9097" w:type="dxa"/>
            <w:vAlign w:val="center"/>
          </w:tcPr>
          <w:p w14:paraId="1EB46E62">
            <w:pPr>
              <w:numPr>
                <w:ilvl w:val="0"/>
                <w:numId w:val="0"/>
              </w:numPr>
              <w:ind w:left="0" w:leftChars="0" w:firstLine="0" w:firstLineChars="0"/>
              <w:jc w:val="both"/>
              <w:rPr>
                <w:rFonts w:hint="eastAsia"/>
                <w:b w:val="0"/>
                <w:bCs w:val="0"/>
                <w:color w:val="FF0000"/>
                <w:vertAlign w:val="baseline"/>
                <w:lang w:val="en-US" w:eastAsia="zh-CN"/>
              </w:rPr>
            </w:pPr>
            <w:r>
              <w:rPr>
                <w:rFonts w:hint="eastAsia" w:eastAsia="宋体"/>
                <w:kern w:val="0"/>
                <w:szCs w:val="21"/>
                <w:lang w:val="en-US" w:eastAsia="zh-CN"/>
              </w:rPr>
              <w:t>6.国家老年大学功能定位与价值追求，2023年度国家开放大学重点课题子课题，Z23B0014-1，在研，厅级，在研；</w:t>
            </w:r>
          </w:p>
        </w:tc>
        <w:tc>
          <w:tcPr>
            <w:tcW w:w="1511" w:type="dxa"/>
            <w:vAlign w:val="center"/>
          </w:tcPr>
          <w:p w14:paraId="28476DE8">
            <w:pPr>
              <w:jc w:val="center"/>
              <w:rPr>
                <w:rFonts w:hint="eastAsia"/>
                <w:b/>
                <w:bCs/>
                <w:vertAlign w:val="baseline"/>
                <w:lang w:val="en-US" w:eastAsia="zh-CN"/>
              </w:rPr>
            </w:pPr>
            <w:r>
              <w:rPr>
                <w:rFonts w:hint="eastAsia"/>
                <w:color w:val="000000"/>
                <w:vertAlign w:val="baseline"/>
                <w:lang w:val="en-US" w:eastAsia="zh-CN"/>
              </w:rPr>
              <w:t>168-178</w:t>
            </w:r>
          </w:p>
        </w:tc>
        <w:tc>
          <w:tcPr>
            <w:tcW w:w="1318" w:type="dxa"/>
            <w:vAlign w:val="center"/>
          </w:tcPr>
          <w:p w14:paraId="46542697">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2.1</w:t>
            </w:r>
          </w:p>
        </w:tc>
        <w:tc>
          <w:tcPr>
            <w:tcW w:w="1510" w:type="dxa"/>
            <w:vAlign w:val="center"/>
          </w:tcPr>
          <w:p w14:paraId="4307881C">
            <w:pPr>
              <w:jc w:val="center"/>
              <w:rPr>
                <w:rFonts w:hint="default"/>
                <w:b/>
                <w:bCs/>
                <w:vertAlign w:val="baseline"/>
                <w:lang w:val="en-US" w:eastAsia="zh-CN"/>
              </w:rPr>
            </w:pPr>
            <w:r>
              <w:rPr>
                <w:rFonts w:hint="eastAsia"/>
                <w:b/>
                <w:bCs/>
                <w:vertAlign w:val="baseline"/>
                <w:lang w:val="en-US" w:eastAsia="zh-CN"/>
              </w:rPr>
              <w:t>2.1</w:t>
            </w:r>
          </w:p>
        </w:tc>
      </w:tr>
      <w:tr w14:paraId="614C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C6163A">
            <w:pPr>
              <w:jc w:val="left"/>
              <w:rPr>
                <w:rFonts w:hint="eastAsia"/>
                <w:b/>
                <w:bCs/>
                <w:vertAlign w:val="baseline"/>
                <w:lang w:val="en-US" w:eastAsia="zh-CN"/>
              </w:rPr>
            </w:pPr>
          </w:p>
        </w:tc>
        <w:tc>
          <w:tcPr>
            <w:tcW w:w="9097" w:type="dxa"/>
            <w:vAlign w:val="center"/>
          </w:tcPr>
          <w:p w14:paraId="1F789C65">
            <w:pPr>
              <w:numPr>
                <w:ilvl w:val="0"/>
                <w:numId w:val="0"/>
              </w:numPr>
              <w:ind w:left="0" w:leftChars="0" w:firstLine="0" w:firstLineChars="0"/>
              <w:jc w:val="both"/>
              <w:rPr>
                <w:rFonts w:hint="eastAsia"/>
                <w:b w:val="0"/>
                <w:bCs w:val="0"/>
                <w:color w:val="FF0000"/>
                <w:vertAlign w:val="baseline"/>
                <w:lang w:val="en-US" w:eastAsia="zh-CN"/>
              </w:rPr>
            </w:pPr>
            <w:r>
              <w:rPr>
                <w:rFonts w:hint="eastAsia" w:eastAsia="宋体"/>
                <w:kern w:val="0"/>
                <w:szCs w:val="21"/>
                <w:lang w:val="en-US" w:eastAsia="zh-CN"/>
              </w:rPr>
              <w:t>7.</w:t>
            </w:r>
            <w:r>
              <w:rPr>
                <w:rFonts w:hint="eastAsia" w:ascii="宋体" w:hAnsi="宋体" w:cs="宋体"/>
                <w:sz w:val="21"/>
                <w:szCs w:val="21"/>
                <w:lang w:val="en-US" w:eastAsia="zh-CN"/>
              </w:rPr>
              <w:t>新型老年大学服务国家战略的功能定位、体系构建与实现路径研究，“十四五”成人继续教育科研规划2023年度立项重点课题，</w:t>
            </w:r>
            <w:r>
              <w:rPr>
                <w:rFonts w:hint="eastAsia" w:ascii="宋体" w:hAnsi="宋体" w:cs="宋体"/>
                <w:b/>
                <w:bCs/>
                <w:sz w:val="21"/>
                <w:szCs w:val="21"/>
                <w:lang w:val="en-US" w:eastAsia="zh-CN"/>
              </w:rPr>
              <w:t>2023-583ZA，在研，参照省级一般课题计分，主持</w:t>
            </w:r>
          </w:p>
        </w:tc>
        <w:tc>
          <w:tcPr>
            <w:tcW w:w="1511" w:type="dxa"/>
            <w:vAlign w:val="center"/>
          </w:tcPr>
          <w:p w14:paraId="1960C886">
            <w:pPr>
              <w:jc w:val="center"/>
              <w:rPr>
                <w:rFonts w:hint="eastAsia"/>
                <w:b/>
                <w:bCs/>
                <w:vertAlign w:val="baseline"/>
                <w:lang w:val="en-US" w:eastAsia="zh-CN"/>
              </w:rPr>
            </w:pPr>
            <w:r>
              <w:rPr>
                <w:rFonts w:hint="eastAsia"/>
                <w:color w:val="000000"/>
                <w:vertAlign w:val="baseline"/>
                <w:lang w:val="en-US" w:eastAsia="zh-CN"/>
              </w:rPr>
              <w:t>179-195</w:t>
            </w:r>
          </w:p>
        </w:tc>
        <w:tc>
          <w:tcPr>
            <w:tcW w:w="1318" w:type="dxa"/>
            <w:vAlign w:val="center"/>
          </w:tcPr>
          <w:p w14:paraId="091B0EC3">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4.2</w:t>
            </w:r>
          </w:p>
        </w:tc>
        <w:tc>
          <w:tcPr>
            <w:tcW w:w="1510" w:type="dxa"/>
            <w:vAlign w:val="center"/>
          </w:tcPr>
          <w:p w14:paraId="77E3D1DC">
            <w:pPr>
              <w:jc w:val="center"/>
              <w:rPr>
                <w:rFonts w:hint="default"/>
                <w:b/>
                <w:bCs/>
                <w:vertAlign w:val="baseline"/>
                <w:lang w:val="en-US" w:eastAsia="zh-CN"/>
              </w:rPr>
            </w:pPr>
            <w:r>
              <w:rPr>
                <w:rFonts w:hint="eastAsia"/>
                <w:b/>
                <w:bCs/>
                <w:vertAlign w:val="baseline"/>
                <w:lang w:val="en-US" w:eastAsia="zh-CN"/>
              </w:rPr>
              <w:t>0</w:t>
            </w:r>
          </w:p>
        </w:tc>
      </w:tr>
      <w:tr w14:paraId="616C0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469A93B">
            <w:pPr>
              <w:jc w:val="left"/>
              <w:rPr>
                <w:rFonts w:hint="eastAsia"/>
                <w:b/>
                <w:bCs/>
                <w:vertAlign w:val="baseline"/>
                <w:lang w:val="en-US" w:eastAsia="zh-CN"/>
              </w:rPr>
            </w:pPr>
          </w:p>
        </w:tc>
        <w:tc>
          <w:tcPr>
            <w:tcW w:w="9097" w:type="dxa"/>
            <w:vAlign w:val="center"/>
          </w:tcPr>
          <w:p w14:paraId="57693690">
            <w:pPr>
              <w:numPr>
                <w:ilvl w:val="0"/>
                <w:numId w:val="0"/>
              </w:numPr>
              <w:ind w:left="0" w:leftChars="0" w:firstLine="0" w:firstLineChars="0"/>
              <w:jc w:val="both"/>
              <w:rPr>
                <w:rFonts w:hint="eastAsia"/>
                <w:b w:val="0"/>
                <w:bCs w:val="0"/>
                <w:color w:val="FF0000"/>
                <w:vertAlign w:val="baseline"/>
                <w:lang w:val="en-US" w:eastAsia="zh-CN"/>
              </w:rPr>
            </w:pPr>
            <w:r>
              <w:rPr>
                <w:rFonts w:hint="eastAsia" w:eastAsia="宋体"/>
                <w:kern w:val="0"/>
                <w:szCs w:val="21"/>
                <w:lang w:val="en-US" w:eastAsia="zh-CN"/>
              </w:rPr>
              <w:t>8.国家助学金资助人信息失实问题及对策研究，湖南省教育科学“十二五”规划2013年度家庭经济困难学生资助研究专项课题，XJK014BXSZ031，主持，2019年结题；</w:t>
            </w:r>
          </w:p>
        </w:tc>
        <w:tc>
          <w:tcPr>
            <w:tcW w:w="1511" w:type="dxa"/>
            <w:vAlign w:val="center"/>
          </w:tcPr>
          <w:p w14:paraId="539E1E78">
            <w:pPr>
              <w:jc w:val="center"/>
              <w:rPr>
                <w:rFonts w:hint="eastAsia"/>
                <w:b/>
                <w:bCs/>
                <w:vertAlign w:val="baseline"/>
                <w:lang w:val="en-US" w:eastAsia="zh-CN"/>
              </w:rPr>
            </w:pPr>
            <w:r>
              <w:rPr>
                <w:rFonts w:hint="eastAsia"/>
                <w:color w:val="000000"/>
                <w:vertAlign w:val="baseline"/>
                <w:lang w:val="en-US" w:eastAsia="zh-CN"/>
              </w:rPr>
              <w:t>196</w:t>
            </w:r>
          </w:p>
        </w:tc>
        <w:tc>
          <w:tcPr>
            <w:tcW w:w="1318" w:type="dxa"/>
            <w:vAlign w:val="center"/>
          </w:tcPr>
          <w:p w14:paraId="25CE2658">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2.8</w:t>
            </w:r>
          </w:p>
        </w:tc>
        <w:tc>
          <w:tcPr>
            <w:tcW w:w="1510" w:type="dxa"/>
            <w:vAlign w:val="center"/>
          </w:tcPr>
          <w:p w14:paraId="09A16516">
            <w:pPr>
              <w:jc w:val="center"/>
              <w:rPr>
                <w:rFonts w:hint="default"/>
                <w:b/>
                <w:bCs/>
                <w:vertAlign w:val="baseline"/>
                <w:lang w:val="en-US" w:eastAsia="zh-CN"/>
              </w:rPr>
            </w:pPr>
            <w:r>
              <w:rPr>
                <w:rFonts w:hint="eastAsia"/>
                <w:b/>
                <w:bCs/>
                <w:vertAlign w:val="baseline"/>
                <w:lang w:val="en-US" w:eastAsia="zh-CN"/>
              </w:rPr>
              <w:t>2.8</w:t>
            </w:r>
          </w:p>
        </w:tc>
      </w:tr>
      <w:tr w14:paraId="6738A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207E40">
            <w:pPr>
              <w:jc w:val="left"/>
              <w:rPr>
                <w:rFonts w:hint="eastAsia"/>
                <w:b/>
                <w:bCs/>
                <w:vertAlign w:val="baseline"/>
                <w:lang w:val="en-US" w:eastAsia="zh-CN"/>
              </w:rPr>
            </w:pPr>
          </w:p>
        </w:tc>
        <w:tc>
          <w:tcPr>
            <w:tcW w:w="9097" w:type="dxa"/>
            <w:vAlign w:val="center"/>
          </w:tcPr>
          <w:p w14:paraId="747869E4">
            <w:pPr>
              <w:numPr>
                <w:ilvl w:val="0"/>
                <w:numId w:val="0"/>
              </w:numPr>
              <w:ind w:left="0" w:leftChars="0" w:firstLine="0" w:firstLineChars="0"/>
              <w:jc w:val="both"/>
              <w:rPr>
                <w:rFonts w:hint="eastAsia"/>
                <w:b w:val="0"/>
                <w:bCs w:val="0"/>
                <w:color w:val="FF0000"/>
                <w:vertAlign w:val="baseline"/>
                <w:lang w:val="en-US" w:eastAsia="zh-CN"/>
              </w:rPr>
            </w:pPr>
            <w:r>
              <w:rPr>
                <w:rFonts w:hint="eastAsia" w:ascii="宋体" w:hAnsi="宋体" w:cs="宋体"/>
                <w:sz w:val="21"/>
                <w:szCs w:val="21"/>
                <w:lang w:val="en-US" w:eastAsia="zh-CN"/>
              </w:rPr>
              <w:t>9.</w:t>
            </w:r>
            <w:r>
              <w:rPr>
                <w:rFonts w:hint="eastAsia" w:ascii="宋体" w:hAnsi="宋体" w:cs="宋体"/>
                <w:sz w:val="21"/>
                <w:szCs w:val="21"/>
                <w:lang w:eastAsia="zh-CN"/>
              </w:rPr>
              <w:t>湖南老年大学功能定位、体系构建与实现路径研究，</w:t>
            </w:r>
            <w:r>
              <w:rPr>
                <w:rFonts w:hint="eastAsia" w:eastAsia="宋体"/>
                <w:kern w:val="0"/>
                <w:szCs w:val="21"/>
                <w:lang w:val="en-US" w:eastAsia="zh-CN"/>
              </w:rPr>
              <w:t>2023年校级重点课题，</w:t>
            </w:r>
            <w:r>
              <w:rPr>
                <w:rFonts w:hint="eastAsia" w:ascii="宋体" w:hAnsi="宋体" w:cs="宋体"/>
                <w:sz w:val="21"/>
                <w:szCs w:val="21"/>
                <w:lang w:val="en-US" w:eastAsia="zh-CN"/>
              </w:rPr>
              <w:t>XDK-2023-A-2，</w:t>
            </w:r>
            <w:r>
              <w:rPr>
                <w:rFonts w:hint="eastAsia" w:eastAsia="宋体"/>
                <w:kern w:val="0"/>
                <w:szCs w:val="21"/>
                <w:lang w:val="en-US" w:eastAsia="zh-CN"/>
              </w:rPr>
              <w:t>主持，在建；</w:t>
            </w:r>
          </w:p>
        </w:tc>
        <w:tc>
          <w:tcPr>
            <w:tcW w:w="1511" w:type="dxa"/>
            <w:vAlign w:val="center"/>
          </w:tcPr>
          <w:p w14:paraId="2B955626">
            <w:pPr>
              <w:jc w:val="center"/>
              <w:rPr>
                <w:rFonts w:hint="eastAsia"/>
                <w:b/>
                <w:bCs/>
                <w:vertAlign w:val="baseline"/>
                <w:lang w:val="en-US" w:eastAsia="zh-CN"/>
              </w:rPr>
            </w:pPr>
            <w:r>
              <w:rPr>
                <w:rFonts w:hint="eastAsia"/>
                <w:color w:val="000000"/>
                <w:vertAlign w:val="baseline"/>
                <w:lang w:val="en-US" w:eastAsia="zh-CN"/>
              </w:rPr>
              <w:t>200-203</w:t>
            </w:r>
          </w:p>
        </w:tc>
        <w:tc>
          <w:tcPr>
            <w:tcW w:w="1318" w:type="dxa"/>
            <w:vAlign w:val="center"/>
          </w:tcPr>
          <w:p w14:paraId="441AE5E7">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1.68</w:t>
            </w:r>
          </w:p>
        </w:tc>
        <w:tc>
          <w:tcPr>
            <w:tcW w:w="1510" w:type="dxa"/>
            <w:vAlign w:val="center"/>
          </w:tcPr>
          <w:p w14:paraId="18C0768C">
            <w:pPr>
              <w:jc w:val="center"/>
              <w:rPr>
                <w:rFonts w:hint="default"/>
                <w:b/>
                <w:bCs/>
                <w:vertAlign w:val="baseline"/>
                <w:lang w:val="en-US" w:eastAsia="zh-CN"/>
              </w:rPr>
            </w:pPr>
            <w:r>
              <w:rPr>
                <w:rFonts w:hint="eastAsia"/>
                <w:b/>
                <w:bCs/>
                <w:vertAlign w:val="baseline"/>
                <w:lang w:val="en-US" w:eastAsia="zh-CN"/>
              </w:rPr>
              <w:t>2.4</w:t>
            </w:r>
          </w:p>
        </w:tc>
      </w:tr>
      <w:tr w14:paraId="600DE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009D11E">
            <w:pPr>
              <w:jc w:val="left"/>
              <w:rPr>
                <w:rFonts w:hint="eastAsia"/>
                <w:b/>
                <w:bCs/>
                <w:vertAlign w:val="baseline"/>
                <w:lang w:val="en-US" w:eastAsia="zh-CN"/>
              </w:rPr>
            </w:pPr>
          </w:p>
        </w:tc>
        <w:tc>
          <w:tcPr>
            <w:tcW w:w="9097" w:type="dxa"/>
            <w:vAlign w:val="center"/>
          </w:tcPr>
          <w:p w14:paraId="1AE8D7E0">
            <w:pPr>
              <w:jc w:val="left"/>
              <w:rPr>
                <w:rFonts w:hint="eastAsia"/>
                <w:b w:val="0"/>
                <w:bCs w:val="0"/>
                <w:color w:val="FF0000"/>
                <w:vertAlign w:val="baseline"/>
                <w:lang w:val="en-US" w:eastAsia="zh-CN"/>
              </w:rPr>
            </w:pPr>
            <w:r>
              <w:rPr>
                <w:rFonts w:hint="eastAsia" w:ascii="宋体" w:hAnsi="宋体" w:cs="宋体"/>
                <w:color w:val="auto"/>
                <w:sz w:val="21"/>
                <w:szCs w:val="21"/>
                <w:lang w:val="en-US" w:eastAsia="zh-CN"/>
              </w:rPr>
              <w:t>10.国家老年大学办学和服务体系建设研究，2023年度国家开放大学重点科研项目，</w:t>
            </w:r>
            <w:r>
              <w:rPr>
                <w:rFonts w:hint="eastAsia" w:ascii="宋体" w:hAnsi="宋体" w:cs="宋体"/>
                <w:b/>
                <w:bCs/>
                <w:color w:val="auto"/>
                <w:sz w:val="21"/>
                <w:szCs w:val="21"/>
                <w:lang w:val="en-US" w:eastAsia="zh-CN"/>
              </w:rPr>
              <w:t>Z23B0014，国家开放大学重点课题，在研，排2</w:t>
            </w:r>
          </w:p>
        </w:tc>
        <w:tc>
          <w:tcPr>
            <w:tcW w:w="1511" w:type="dxa"/>
            <w:vAlign w:val="center"/>
          </w:tcPr>
          <w:p w14:paraId="2E132252">
            <w:pPr>
              <w:jc w:val="center"/>
              <w:rPr>
                <w:rFonts w:hint="eastAsia"/>
                <w:b/>
                <w:bCs/>
                <w:vertAlign w:val="baseline"/>
                <w:lang w:val="en-US" w:eastAsia="zh-CN"/>
              </w:rPr>
            </w:pPr>
            <w:r>
              <w:rPr>
                <w:rFonts w:hint="eastAsia"/>
                <w:color w:val="000000"/>
                <w:vertAlign w:val="baseline"/>
                <w:lang w:val="en-US" w:eastAsia="zh-CN"/>
              </w:rPr>
              <w:t>214-224</w:t>
            </w:r>
          </w:p>
        </w:tc>
        <w:tc>
          <w:tcPr>
            <w:tcW w:w="1318" w:type="dxa"/>
            <w:vAlign w:val="center"/>
          </w:tcPr>
          <w:p w14:paraId="3FDA5947">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0.9</w:t>
            </w:r>
          </w:p>
        </w:tc>
        <w:tc>
          <w:tcPr>
            <w:tcW w:w="1510" w:type="dxa"/>
            <w:vAlign w:val="center"/>
          </w:tcPr>
          <w:p w14:paraId="2F35EA04">
            <w:pPr>
              <w:jc w:val="center"/>
              <w:rPr>
                <w:rFonts w:hint="default"/>
                <w:b/>
                <w:bCs/>
                <w:vertAlign w:val="baseline"/>
                <w:lang w:val="en-US" w:eastAsia="zh-CN"/>
              </w:rPr>
            </w:pPr>
            <w:r>
              <w:rPr>
                <w:rFonts w:hint="eastAsia"/>
                <w:b/>
                <w:bCs/>
                <w:vertAlign w:val="baseline"/>
                <w:lang w:val="en-US" w:eastAsia="zh-CN"/>
              </w:rPr>
              <w:t>0.54</w:t>
            </w:r>
          </w:p>
        </w:tc>
      </w:tr>
      <w:tr w14:paraId="37AD3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D1F3B6">
            <w:pPr>
              <w:jc w:val="left"/>
              <w:rPr>
                <w:rFonts w:hint="eastAsia"/>
                <w:b/>
                <w:bCs/>
                <w:vertAlign w:val="baseline"/>
                <w:lang w:val="en-US" w:eastAsia="zh-CN"/>
              </w:rPr>
            </w:pPr>
          </w:p>
        </w:tc>
        <w:tc>
          <w:tcPr>
            <w:tcW w:w="9097" w:type="dxa"/>
            <w:vAlign w:val="center"/>
          </w:tcPr>
          <w:p w14:paraId="0EFE2C74">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b w:val="0"/>
                <w:bCs w:val="0"/>
                <w:color w:val="FF0000"/>
                <w:vertAlign w:val="baseline"/>
                <w:lang w:val="en-US" w:eastAsia="zh-CN"/>
              </w:rPr>
            </w:pPr>
            <w:r>
              <w:rPr>
                <w:rFonts w:hint="eastAsia" w:ascii="宋体" w:hAnsi="宋体" w:cs="宋体"/>
                <w:color w:val="auto"/>
                <w:sz w:val="21"/>
                <w:szCs w:val="21"/>
                <w:lang w:val="en-US" w:eastAsia="zh-CN"/>
              </w:rPr>
              <w:t>11.社区教育推动习近平新时代中国特色社会主义思想进社区的理论逻辑与实践方略研究，“十四五”省级青年资助专项，</w:t>
            </w:r>
            <w:r>
              <w:rPr>
                <w:rFonts w:hint="eastAsia" w:ascii="宋体" w:hAnsi="宋体" w:cs="宋体"/>
                <w:b/>
                <w:bCs/>
                <w:color w:val="auto"/>
                <w:sz w:val="21"/>
                <w:szCs w:val="21"/>
                <w:lang w:val="en-US" w:eastAsia="zh-CN"/>
              </w:rPr>
              <w:t>XJK22QCR001，省级一般，结题，排2</w:t>
            </w:r>
          </w:p>
        </w:tc>
        <w:tc>
          <w:tcPr>
            <w:tcW w:w="1511" w:type="dxa"/>
            <w:vAlign w:val="center"/>
          </w:tcPr>
          <w:p w14:paraId="24EDE3AC">
            <w:pPr>
              <w:jc w:val="center"/>
              <w:rPr>
                <w:rFonts w:hint="eastAsia"/>
                <w:b/>
                <w:bCs/>
                <w:vertAlign w:val="baseline"/>
                <w:lang w:val="en-US" w:eastAsia="zh-CN"/>
              </w:rPr>
            </w:pPr>
            <w:r>
              <w:rPr>
                <w:rFonts w:hint="eastAsia"/>
                <w:color w:val="000000"/>
                <w:vertAlign w:val="baseline"/>
                <w:lang w:val="en-US" w:eastAsia="zh-CN"/>
              </w:rPr>
              <w:t>225</w:t>
            </w:r>
          </w:p>
        </w:tc>
        <w:tc>
          <w:tcPr>
            <w:tcW w:w="1318" w:type="dxa"/>
            <w:vAlign w:val="center"/>
          </w:tcPr>
          <w:p w14:paraId="30E01AE2">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0.9</w:t>
            </w:r>
          </w:p>
        </w:tc>
        <w:tc>
          <w:tcPr>
            <w:tcW w:w="1510" w:type="dxa"/>
            <w:vAlign w:val="center"/>
          </w:tcPr>
          <w:p w14:paraId="31706785">
            <w:pPr>
              <w:jc w:val="center"/>
              <w:rPr>
                <w:rFonts w:hint="default"/>
                <w:b/>
                <w:bCs/>
                <w:vertAlign w:val="baseline"/>
                <w:lang w:val="en-US" w:eastAsia="zh-CN"/>
              </w:rPr>
            </w:pPr>
            <w:r>
              <w:rPr>
                <w:rFonts w:hint="eastAsia"/>
                <w:b/>
                <w:bCs/>
                <w:vertAlign w:val="baseline"/>
                <w:lang w:val="en-US" w:eastAsia="zh-CN"/>
              </w:rPr>
              <w:t>0.9</w:t>
            </w:r>
          </w:p>
        </w:tc>
      </w:tr>
      <w:tr w14:paraId="4CA85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5838B8">
            <w:pPr>
              <w:jc w:val="left"/>
              <w:rPr>
                <w:rFonts w:hint="eastAsia"/>
                <w:b/>
                <w:bCs/>
                <w:vertAlign w:val="baseline"/>
                <w:lang w:val="en-US" w:eastAsia="zh-CN"/>
              </w:rPr>
            </w:pPr>
          </w:p>
        </w:tc>
        <w:tc>
          <w:tcPr>
            <w:tcW w:w="9097" w:type="dxa"/>
            <w:vAlign w:val="center"/>
          </w:tcPr>
          <w:p w14:paraId="35240E6B">
            <w:pPr>
              <w:numPr>
                <w:ilvl w:val="0"/>
                <w:numId w:val="0"/>
              </w:numPr>
              <w:ind w:left="0" w:leftChars="0" w:firstLine="0" w:firstLineChars="0"/>
              <w:jc w:val="both"/>
              <w:rPr>
                <w:rFonts w:hint="eastAsia"/>
                <w:b w:val="0"/>
                <w:bCs w:val="0"/>
                <w:color w:val="FF0000"/>
                <w:vertAlign w:val="baseline"/>
                <w:lang w:val="en-US" w:eastAsia="zh-CN"/>
              </w:rPr>
            </w:pPr>
            <w:r>
              <w:rPr>
                <w:rFonts w:hint="eastAsia" w:ascii="宋体" w:hAnsi="宋体" w:cs="宋体"/>
                <w:sz w:val="21"/>
                <w:szCs w:val="21"/>
                <w:lang w:val="en-US" w:eastAsia="zh-CN"/>
              </w:rPr>
              <w:t>12.</w:t>
            </w:r>
            <w:r>
              <w:rPr>
                <w:rFonts w:hint="eastAsia" w:ascii="宋体" w:hAnsi="宋体" w:cs="宋体"/>
                <w:sz w:val="21"/>
                <w:szCs w:val="21"/>
                <w:lang w:eastAsia="zh-CN"/>
              </w:rPr>
              <w:t>积极应对人口老龄化战略下湖南老年教育创新发展研究，</w:t>
            </w:r>
            <w:r>
              <w:rPr>
                <w:rFonts w:hint="eastAsia" w:ascii="宋体" w:hAnsi="宋体" w:cs="宋体"/>
                <w:sz w:val="21"/>
                <w:szCs w:val="21"/>
                <w:lang w:val="en-US" w:eastAsia="zh-CN"/>
              </w:rPr>
              <w:t>2023年湖南省社科联智库重大课题，ZK202307，排名第二，结题；</w:t>
            </w:r>
          </w:p>
        </w:tc>
        <w:tc>
          <w:tcPr>
            <w:tcW w:w="1511" w:type="dxa"/>
            <w:vAlign w:val="center"/>
          </w:tcPr>
          <w:p w14:paraId="53573E1D">
            <w:pPr>
              <w:jc w:val="center"/>
              <w:rPr>
                <w:rFonts w:hint="eastAsia"/>
                <w:b/>
                <w:bCs/>
                <w:vertAlign w:val="baseline"/>
                <w:lang w:val="en-US" w:eastAsia="zh-CN"/>
              </w:rPr>
            </w:pPr>
            <w:r>
              <w:rPr>
                <w:rFonts w:hint="eastAsia"/>
                <w:color w:val="000000"/>
                <w:vertAlign w:val="baseline"/>
                <w:lang w:val="en-US" w:eastAsia="zh-CN"/>
              </w:rPr>
              <w:t>226-229</w:t>
            </w:r>
          </w:p>
        </w:tc>
        <w:tc>
          <w:tcPr>
            <w:tcW w:w="1318" w:type="dxa"/>
            <w:vAlign w:val="center"/>
          </w:tcPr>
          <w:p w14:paraId="1914B764">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0.9</w:t>
            </w:r>
          </w:p>
        </w:tc>
        <w:tc>
          <w:tcPr>
            <w:tcW w:w="1510" w:type="dxa"/>
            <w:vAlign w:val="center"/>
          </w:tcPr>
          <w:p w14:paraId="284F1127">
            <w:pPr>
              <w:jc w:val="center"/>
              <w:rPr>
                <w:rFonts w:hint="default"/>
                <w:b/>
                <w:bCs/>
                <w:vertAlign w:val="baseline"/>
                <w:lang w:val="en-US" w:eastAsia="zh-CN"/>
              </w:rPr>
            </w:pPr>
            <w:r>
              <w:rPr>
                <w:rFonts w:hint="eastAsia"/>
                <w:b/>
                <w:bCs/>
                <w:vertAlign w:val="baseline"/>
                <w:lang w:val="en-US" w:eastAsia="zh-CN"/>
              </w:rPr>
              <w:t>0.9</w:t>
            </w:r>
          </w:p>
        </w:tc>
      </w:tr>
      <w:tr w14:paraId="3A423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27CDA0C">
            <w:pPr>
              <w:jc w:val="left"/>
              <w:rPr>
                <w:rFonts w:hint="eastAsia"/>
                <w:b/>
                <w:bCs/>
                <w:vertAlign w:val="baseline"/>
                <w:lang w:val="en-US" w:eastAsia="zh-CN"/>
              </w:rPr>
            </w:pPr>
          </w:p>
        </w:tc>
        <w:tc>
          <w:tcPr>
            <w:tcW w:w="9097" w:type="dxa"/>
            <w:vAlign w:val="center"/>
          </w:tcPr>
          <w:p w14:paraId="5E35EA2D">
            <w:pPr>
              <w:numPr>
                <w:ilvl w:val="0"/>
                <w:numId w:val="0"/>
              </w:numPr>
              <w:ind w:left="0" w:leftChars="0" w:firstLine="0" w:firstLineChars="0"/>
              <w:jc w:val="both"/>
              <w:rPr>
                <w:rFonts w:hint="eastAsia"/>
                <w:b w:val="0"/>
                <w:bCs w:val="0"/>
                <w:color w:val="FF0000"/>
                <w:vertAlign w:val="baseline"/>
                <w:lang w:val="en-US" w:eastAsia="zh-CN"/>
              </w:rPr>
            </w:pPr>
            <w:r>
              <w:rPr>
                <w:rFonts w:hint="eastAsia" w:eastAsia="宋体"/>
                <w:kern w:val="0"/>
                <w:szCs w:val="21"/>
                <w:lang w:val="en-US" w:eastAsia="zh-CN"/>
              </w:rPr>
              <w:t>13.中国特色社会主义对发展中国家走向现代化的启示研究，2017年湖南省哲学社会科学基金重点项目，</w:t>
            </w:r>
            <w:r>
              <w:rPr>
                <w:rFonts w:hint="eastAsia"/>
                <w:kern w:val="0"/>
                <w:sz w:val="21"/>
                <w:szCs w:val="21"/>
                <w:lang w:val="en-US" w:eastAsia="zh-CN"/>
              </w:rPr>
              <w:t>17WTB16，</w:t>
            </w:r>
            <w:r>
              <w:rPr>
                <w:rFonts w:hint="eastAsia" w:eastAsia="宋体"/>
                <w:kern w:val="0"/>
                <w:szCs w:val="21"/>
                <w:lang w:val="en-US" w:eastAsia="zh-CN"/>
              </w:rPr>
              <w:t>排名第二，结题；</w:t>
            </w:r>
          </w:p>
        </w:tc>
        <w:tc>
          <w:tcPr>
            <w:tcW w:w="1511" w:type="dxa"/>
            <w:vAlign w:val="center"/>
          </w:tcPr>
          <w:p w14:paraId="4F8FA6E0">
            <w:pPr>
              <w:jc w:val="center"/>
              <w:rPr>
                <w:rFonts w:hint="eastAsia"/>
                <w:b/>
                <w:bCs/>
                <w:vertAlign w:val="baseline"/>
                <w:lang w:val="en-US" w:eastAsia="zh-CN"/>
              </w:rPr>
            </w:pPr>
            <w:r>
              <w:rPr>
                <w:rFonts w:hint="eastAsia"/>
                <w:color w:val="000000"/>
                <w:vertAlign w:val="baseline"/>
                <w:lang w:val="en-US" w:eastAsia="zh-CN"/>
              </w:rPr>
              <w:t>230</w:t>
            </w:r>
          </w:p>
        </w:tc>
        <w:tc>
          <w:tcPr>
            <w:tcW w:w="1318" w:type="dxa"/>
            <w:vAlign w:val="center"/>
          </w:tcPr>
          <w:p w14:paraId="38865913">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1.35</w:t>
            </w:r>
          </w:p>
        </w:tc>
        <w:tc>
          <w:tcPr>
            <w:tcW w:w="1510" w:type="dxa"/>
            <w:vAlign w:val="center"/>
          </w:tcPr>
          <w:p w14:paraId="533D6976">
            <w:pPr>
              <w:jc w:val="center"/>
              <w:rPr>
                <w:rFonts w:hint="default"/>
                <w:b/>
                <w:bCs/>
                <w:vertAlign w:val="baseline"/>
                <w:lang w:val="en-US" w:eastAsia="zh-CN"/>
              </w:rPr>
            </w:pPr>
            <w:r>
              <w:rPr>
                <w:rFonts w:hint="eastAsia"/>
                <w:b/>
                <w:bCs/>
                <w:vertAlign w:val="baseline"/>
                <w:lang w:val="en-US" w:eastAsia="zh-CN"/>
              </w:rPr>
              <w:t>1.35</w:t>
            </w:r>
          </w:p>
        </w:tc>
      </w:tr>
      <w:tr w14:paraId="2F356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EEE9C7">
            <w:pPr>
              <w:jc w:val="left"/>
              <w:rPr>
                <w:rFonts w:hint="eastAsia"/>
                <w:b/>
                <w:bCs/>
                <w:vertAlign w:val="baseline"/>
                <w:lang w:val="en-US" w:eastAsia="zh-CN"/>
              </w:rPr>
            </w:pPr>
          </w:p>
        </w:tc>
        <w:tc>
          <w:tcPr>
            <w:tcW w:w="9097" w:type="dxa"/>
            <w:vAlign w:val="center"/>
          </w:tcPr>
          <w:p w14:paraId="1EB40BE2">
            <w:pPr>
              <w:numPr>
                <w:ilvl w:val="0"/>
                <w:numId w:val="0"/>
              </w:numPr>
              <w:ind w:left="0" w:leftChars="0" w:firstLine="0" w:firstLineChars="0"/>
              <w:jc w:val="both"/>
              <w:rPr>
                <w:rFonts w:hint="eastAsia"/>
                <w:b w:val="0"/>
                <w:bCs w:val="0"/>
                <w:color w:val="FF0000"/>
                <w:vertAlign w:val="baseline"/>
                <w:lang w:val="en-US" w:eastAsia="zh-CN"/>
              </w:rPr>
            </w:pPr>
            <w:r>
              <w:rPr>
                <w:rFonts w:hint="eastAsia" w:eastAsia="宋体"/>
                <w:kern w:val="0"/>
                <w:szCs w:val="21"/>
                <w:lang w:val="en-US" w:eastAsia="zh-CN"/>
              </w:rPr>
              <w:t>14.当代新兴增强技术前沿与人类深度科技化问题的哲学研究，</w:t>
            </w:r>
            <w:r>
              <w:rPr>
                <w:rFonts w:hint="eastAsia" w:ascii="宋体" w:hAnsi="宋体" w:cs="宋体"/>
                <w:color w:val="auto"/>
                <w:sz w:val="21"/>
                <w:szCs w:val="21"/>
                <w:lang w:val="en-US" w:eastAsia="zh-CN"/>
              </w:rPr>
              <w:t>2018年国家社科基金一般项目，18BZX042，排名第三，；</w:t>
            </w:r>
          </w:p>
        </w:tc>
        <w:tc>
          <w:tcPr>
            <w:tcW w:w="1511" w:type="dxa"/>
            <w:vAlign w:val="center"/>
          </w:tcPr>
          <w:p w14:paraId="6BFE5410">
            <w:pPr>
              <w:jc w:val="center"/>
              <w:rPr>
                <w:rFonts w:hint="eastAsia"/>
                <w:b/>
                <w:bCs/>
                <w:vertAlign w:val="baseline"/>
                <w:lang w:val="en-US" w:eastAsia="zh-CN"/>
              </w:rPr>
            </w:pPr>
            <w:r>
              <w:rPr>
                <w:rFonts w:hint="eastAsia"/>
                <w:color w:val="000000"/>
                <w:vertAlign w:val="baseline"/>
                <w:lang w:val="en-US" w:eastAsia="zh-CN"/>
              </w:rPr>
              <w:t>231-236</w:t>
            </w:r>
          </w:p>
        </w:tc>
        <w:tc>
          <w:tcPr>
            <w:tcW w:w="1318" w:type="dxa"/>
            <w:vAlign w:val="center"/>
          </w:tcPr>
          <w:p w14:paraId="654F1284">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2.16</w:t>
            </w:r>
          </w:p>
        </w:tc>
        <w:tc>
          <w:tcPr>
            <w:tcW w:w="1510" w:type="dxa"/>
            <w:vAlign w:val="center"/>
          </w:tcPr>
          <w:p w14:paraId="6C04A7B5">
            <w:pPr>
              <w:jc w:val="center"/>
              <w:rPr>
                <w:rFonts w:hint="default"/>
                <w:b/>
                <w:bCs/>
                <w:vertAlign w:val="baseline"/>
                <w:lang w:val="en-US" w:eastAsia="zh-CN"/>
              </w:rPr>
            </w:pPr>
            <w:r>
              <w:rPr>
                <w:rFonts w:hint="eastAsia"/>
                <w:b/>
                <w:bCs/>
                <w:vertAlign w:val="baseline"/>
                <w:lang w:val="en-US" w:eastAsia="zh-CN"/>
              </w:rPr>
              <w:t>2.16</w:t>
            </w:r>
          </w:p>
        </w:tc>
      </w:tr>
      <w:tr w14:paraId="4567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4A2C456">
            <w:pPr>
              <w:jc w:val="left"/>
              <w:rPr>
                <w:rFonts w:hint="eastAsia"/>
                <w:b/>
                <w:bCs/>
                <w:vertAlign w:val="baseline"/>
                <w:lang w:val="en-US" w:eastAsia="zh-CN"/>
              </w:rPr>
            </w:pPr>
          </w:p>
        </w:tc>
        <w:tc>
          <w:tcPr>
            <w:tcW w:w="9097" w:type="dxa"/>
            <w:vAlign w:val="center"/>
          </w:tcPr>
          <w:p w14:paraId="2B1E6459">
            <w:pPr>
              <w:numPr>
                <w:ilvl w:val="0"/>
                <w:numId w:val="0"/>
              </w:numPr>
              <w:ind w:left="0" w:leftChars="0" w:firstLine="0" w:firstLineChars="0"/>
              <w:jc w:val="both"/>
              <w:rPr>
                <w:rFonts w:hint="eastAsia"/>
                <w:b w:val="0"/>
                <w:bCs w:val="0"/>
                <w:color w:val="FF0000"/>
                <w:vertAlign w:val="baseline"/>
                <w:lang w:val="en-US" w:eastAsia="zh-CN"/>
              </w:rPr>
            </w:pPr>
            <w:r>
              <w:rPr>
                <w:rFonts w:hint="eastAsia" w:ascii="宋体" w:hAnsi="宋体" w:cs="宋体"/>
                <w:color w:val="auto"/>
                <w:sz w:val="21"/>
                <w:szCs w:val="21"/>
                <w:lang w:val="en-US" w:eastAsia="zh-CN"/>
              </w:rPr>
              <w:t>15.</w:t>
            </w:r>
            <w:r>
              <w:rPr>
                <w:rFonts w:hint="eastAsia" w:ascii="宋体" w:hAnsi="宋体" w:cs="宋体"/>
                <w:color w:val="auto"/>
                <w:sz w:val="21"/>
                <w:szCs w:val="21"/>
                <w:lang w:eastAsia="zh-CN"/>
              </w:rPr>
              <w:t>习近平新时代中国特色社会主义思想的世界观与历史观研究，</w:t>
            </w:r>
            <w:r>
              <w:rPr>
                <w:rFonts w:hint="eastAsia" w:ascii="宋体" w:hAnsi="宋体" w:cs="宋体"/>
                <w:color w:val="auto"/>
                <w:sz w:val="21"/>
                <w:szCs w:val="21"/>
                <w:lang w:val="en-US" w:eastAsia="zh-CN"/>
              </w:rPr>
              <w:t>2019年国家社科基金一般项目，19BZX005，排名第二；</w:t>
            </w:r>
          </w:p>
        </w:tc>
        <w:tc>
          <w:tcPr>
            <w:tcW w:w="1511" w:type="dxa"/>
            <w:vAlign w:val="center"/>
          </w:tcPr>
          <w:p w14:paraId="2214EB72">
            <w:pPr>
              <w:jc w:val="center"/>
              <w:rPr>
                <w:rFonts w:hint="eastAsia"/>
                <w:b/>
                <w:bCs/>
                <w:vertAlign w:val="baseline"/>
                <w:lang w:val="en-US" w:eastAsia="zh-CN"/>
              </w:rPr>
            </w:pPr>
            <w:r>
              <w:rPr>
                <w:rFonts w:hint="eastAsia"/>
                <w:color w:val="000000"/>
                <w:vertAlign w:val="baseline"/>
                <w:lang w:val="en-US" w:eastAsia="zh-CN"/>
              </w:rPr>
              <w:t>237-240</w:t>
            </w:r>
          </w:p>
        </w:tc>
        <w:tc>
          <w:tcPr>
            <w:tcW w:w="1318" w:type="dxa"/>
            <w:vAlign w:val="center"/>
          </w:tcPr>
          <w:p w14:paraId="262FAD2F">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3.24</w:t>
            </w:r>
          </w:p>
        </w:tc>
        <w:tc>
          <w:tcPr>
            <w:tcW w:w="1510" w:type="dxa"/>
            <w:vAlign w:val="center"/>
          </w:tcPr>
          <w:p w14:paraId="488A2E8F">
            <w:pPr>
              <w:jc w:val="center"/>
              <w:rPr>
                <w:rFonts w:hint="default"/>
                <w:b/>
                <w:bCs/>
                <w:vertAlign w:val="baseline"/>
                <w:lang w:val="en-US" w:eastAsia="zh-CN"/>
              </w:rPr>
            </w:pPr>
            <w:r>
              <w:rPr>
                <w:rFonts w:hint="eastAsia"/>
                <w:b/>
                <w:bCs/>
                <w:vertAlign w:val="baseline"/>
                <w:lang w:val="en-US" w:eastAsia="zh-CN"/>
              </w:rPr>
              <w:t>3.24</w:t>
            </w:r>
          </w:p>
        </w:tc>
      </w:tr>
      <w:tr w14:paraId="7F555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0C798B8">
            <w:pPr>
              <w:jc w:val="left"/>
              <w:rPr>
                <w:rFonts w:hint="eastAsia"/>
                <w:b/>
                <w:bCs/>
                <w:vertAlign w:val="baseline"/>
                <w:lang w:val="en-US" w:eastAsia="zh-CN"/>
              </w:rPr>
            </w:pPr>
          </w:p>
        </w:tc>
        <w:tc>
          <w:tcPr>
            <w:tcW w:w="9097" w:type="dxa"/>
            <w:vAlign w:val="center"/>
          </w:tcPr>
          <w:p w14:paraId="4C09B47B">
            <w:pPr>
              <w:numPr>
                <w:ilvl w:val="0"/>
                <w:numId w:val="0"/>
              </w:numPr>
              <w:ind w:left="0" w:leftChars="0" w:firstLine="0" w:firstLineChars="0"/>
              <w:jc w:val="both"/>
              <w:rPr>
                <w:rFonts w:hint="eastAsia"/>
                <w:b w:val="0"/>
                <w:bCs w:val="0"/>
                <w:color w:val="FF0000"/>
                <w:vertAlign w:val="baseline"/>
                <w:lang w:val="en-US" w:eastAsia="zh-CN"/>
              </w:rPr>
            </w:pPr>
            <w:r>
              <w:rPr>
                <w:rFonts w:hint="eastAsia" w:ascii="宋体" w:hAnsi="宋体" w:cs="宋体"/>
                <w:color w:val="auto"/>
                <w:sz w:val="21"/>
                <w:szCs w:val="21"/>
                <w:lang w:val="en-US" w:eastAsia="zh-CN"/>
              </w:rPr>
              <w:t>16.高职思政课开放课堂的生态化构建研究</w:t>
            </w:r>
            <w:r>
              <w:rPr>
                <w:rFonts w:hint="eastAsia" w:ascii="宋体" w:hAnsi="宋体" w:cs="宋体"/>
                <w:color w:val="auto"/>
                <w:sz w:val="21"/>
                <w:szCs w:val="21"/>
                <w:lang w:eastAsia="zh-CN"/>
              </w:rPr>
              <w:t>，</w:t>
            </w:r>
            <w:r>
              <w:rPr>
                <w:rFonts w:hint="eastAsia" w:ascii="宋体" w:hAnsi="宋体" w:cs="宋体"/>
                <w:sz w:val="21"/>
                <w:szCs w:val="21"/>
              </w:rPr>
              <w:t>201</w:t>
            </w:r>
            <w:r>
              <w:rPr>
                <w:rFonts w:hint="eastAsia" w:ascii="宋体" w:hAnsi="宋体" w:cs="宋体"/>
                <w:sz w:val="21"/>
                <w:szCs w:val="21"/>
                <w:lang w:val="en-US" w:eastAsia="zh-CN"/>
              </w:rPr>
              <w:t>6</w:t>
            </w:r>
            <w:r>
              <w:rPr>
                <w:rFonts w:hint="eastAsia" w:ascii="宋体" w:hAnsi="宋体" w:cs="宋体"/>
                <w:sz w:val="21"/>
                <w:szCs w:val="21"/>
              </w:rPr>
              <w:t>年湖南省社科基金</w:t>
            </w:r>
            <w:r>
              <w:rPr>
                <w:rFonts w:hint="eastAsia" w:ascii="宋体" w:hAnsi="宋体" w:cs="宋体"/>
                <w:sz w:val="21"/>
                <w:szCs w:val="21"/>
                <w:lang w:val="en-US" w:eastAsia="zh-CN"/>
              </w:rPr>
              <w:t>项目高校思想政治教育研究课题</w:t>
            </w:r>
            <w:r>
              <w:rPr>
                <w:rFonts w:hint="eastAsia" w:ascii="宋体" w:hAnsi="宋体" w:cs="宋体"/>
                <w:sz w:val="21"/>
                <w:szCs w:val="21"/>
                <w:lang w:eastAsia="zh-CN"/>
              </w:rPr>
              <w:t>，</w:t>
            </w:r>
            <w:r>
              <w:rPr>
                <w:rFonts w:hint="eastAsia" w:ascii="宋体" w:hAnsi="宋体" w:cs="宋体"/>
                <w:color w:val="auto"/>
                <w:sz w:val="21"/>
                <w:szCs w:val="21"/>
                <w:lang w:val="en-US" w:eastAsia="zh-CN"/>
              </w:rPr>
              <w:t>16B25，</w:t>
            </w:r>
            <w:r>
              <w:rPr>
                <w:rFonts w:hint="eastAsia" w:ascii="宋体" w:hAnsi="宋体" w:cs="宋体"/>
                <w:sz w:val="21"/>
                <w:szCs w:val="21"/>
                <w:lang w:eastAsia="zh-CN"/>
              </w:rPr>
              <w:t>排名第</w:t>
            </w:r>
            <w:r>
              <w:rPr>
                <w:rFonts w:hint="eastAsia" w:ascii="宋体" w:hAnsi="宋体" w:cs="宋体"/>
                <w:sz w:val="21"/>
                <w:szCs w:val="21"/>
                <w:lang w:val="en-US" w:eastAsia="zh-CN"/>
              </w:rPr>
              <w:t>三</w:t>
            </w:r>
            <w:r>
              <w:rPr>
                <w:rFonts w:hint="eastAsia" w:ascii="宋体" w:hAnsi="宋体" w:cs="宋体"/>
                <w:sz w:val="21"/>
                <w:szCs w:val="21"/>
                <w:lang w:eastAsia="zh-CN"/>
              </w:rPr>
              <w:t>，已结题</w:t>
            </w:r>
          </w:p>
        </w:tc>
        <w:tc>
          <w:tcPr>
            <w:tcW w:w="1511" w:type="dxa"/>
            <w:vAlign w:val="center"/>
          </w:tcPr>
          <w:p w14:paraId="55D479D6">
            <w:pPr>
              <w:jc w:val="center"/>
              <w:rPr>
                <w:rFonts w:hint="eastAsia"/>
                <w:b/>
                <w:bCs/>
                <w:vertAlign w:val="baseline"/>
                <w:lang w:val="en-US" w:eastAsia="zh-CN"/>
              </w:rPr>
            </w:pPr>
            <w:r>
              <w:rPr>
                <w:rFonts w:hint="eastAsia"/>
                <w:color w:val="000000"/>
                <w:vertAlign w:val="baseline"/>
                <w:lang w:val="en-US" w:eastAsia="zh-CN"/>
              </w:rPr>
              <w:t>241-247</w:t>
            </w:r>
          </w:p>
        </w:tc>
        <w:tc>
          <w:tcPr>
            <w:tcW w:w="1318" w:type="dxa"/>
            <w:vAlign w:val="center"/>
          </w:tcPr>
          <w:p w14:paraId="2A1D13E9">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0.6</w:t>
            </w:r>
          </w:p>
        </w:tc>
        <w:tc>
          <w:tcPr>
            <w:tcW w:w="1510" w:type="dxa"/>
            <w:vAlign w:val="center"/>
          </w:tcPr>
          <w:p w14:paraId="6369DAF9">
            <w:pPr>
              <w:jc w:val="center"/>
              <w:rPr>
                <w:rFonts w:hint="default"/>
                <w:b/>
                <w:bCs/>
                <w:vertAlign w:val="baseline"/>
                <w:lang w:val="en-US" w:eastAsia="zh-CN"/>
              </w:rPr>
            </w:pPr>
            <w:r>
              <w:rPr>
                <w:rFonts w:hint="eastAsia"/>
                <w:b/>
                <w:bCs/>
                <w:vertAlign w:val="baseline"/>
                <w:lang w:val="en-US" w:eastAsia="zh-CN"/>
              </w:rPr>
              <w:t>0.6</w:t>
            </w:r>
          </w:p>
        </w:tc>
      </w:tr>
      <w:tr w14:paraId="5961D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ABEC9D">
            <w:pPr>
              <w:jc w:val="left"/>
              <w:rPr>
                <w:rFonts w:hint="eastAsia"/>
                <w:b/>
                <w:bCs/>
                <w:vertAlign w:val="baseline"/>
                <w:lang w:val="en-US" w:eastAsia="zh-CN"/>
              </w:rPr>
            </w:pPr>
          </w:p>
        </w:tc>
        <w:tc>
          <w:tcPr>
            <w:tcW w:w="9097" w:type="dxa"/>
            <w:vAlign w:val="center"/>
          </w:tcPr>
          <w:p w14:paraId="13DB9D6A">
            <w:pPr>
              <w:numPr>
                <w:ilvl w:val="0"/>
                <w:numId w:val="0"/>
              </w:numPr>
              <w:ind w:left="0" w:leftChars="0" w:firstLine="0" w:firstLineChars="0"/>
              <w:jc w:val="both"/>
              <w:rPr>
                <w:rFonts w:hint="eastAsia"/>
                <w:b w:val="0"/>
                <w:bCs w:val="0"/>
                <w:color w:val="FF0000"/>
                <w:vertAlign w:val="baseline"/>
                <w:lang w:val="en-US" w:eastAsia="zh-CN"/>
              </w:rPr>
            </w:pPr>
            <w:r>
              <w:rPr>
                <w:rFonts w:hint="eastAsia"/>
                <w:kern w:val="0"/>
                <w:sz w:val="21"/>
                <w:szCs w:val="21"/>
                <w:lang w:val="en-US" w:eastAsia="zh-CN"/>
              </w:rPr>
              <w:t>17.互联网背景下的老年教育线上线下融合发展研究，2020年湖南省职业教育教学改革研究项，</w:t>
            </w:r>
            <w:r>
              <w:rPr>
                <w:rFonts w:hint="eastAsia" w:ascii="宋体" w:hAnsi="宋体" w:cs="宋体"/>
                <w:color w:val="auto"/>
                <w:sz w:val="21"/>
                <w:szCs w:val="21"/>
                <w:lang w:val="en-US" w:eastAsia="zh-CN"/>
              </w:rPr>
              <w:t>ZJSB2020009，</w:t>
            </w:r>
            <w:r>
              <w:rPr>
                <w:rFonts w:hint="eastAsia"/>
                <w:kern w:val="0"/>
                <w:sz w:val="21"/>
                <w:szCs w:val="21"/>
                <w:lang w:val="en-US" w:eastAsia="zh-CN"/>
              </w:rPr>
              <w:t>排名第二，已结题；</w:t>
            </w:r>
          </w:p>
        </w:tc>
        <w:tc>
          <w:tcPr>
            <w:tcW w:w="1511" w:type="dxa"/>
            <w:vAlign w:val="center"/>
          </w:tcPr>
          <w:p w14:paraId="21FF0280">
            <w:pPr>
              <w:jc w:val="center"/>
              <w:rPr>
                <w:rFonts w:hint="eastAsia"/>
                <w:b/>
                <w:bCs/>
                <w:vertAlign w:val="baseline"/>
                <w:lang w:val="en-US" w:eastAsia="zh-CN"/>
              </w:rPr>
            </w:pPr>
            <w:r>
              <w:rPr>
                <w:rFonts w:hint="eastAsia"/>
                <w:color w:val="000000"/>
                <w:vertAlign w:val="baseline"/>
                <w:lang w:val="en-US" w:eastAsia="zh-CN"/>
              </w:rPr>
              <w:t>248-253</w:t>
            </w:r>
          </w:p>
        </w:tc>
        <w:tc>
          <w:tcPr>
            <w:tcW w:w="1318" w:type="dxa"/>
            <w:vAlign w:val="center"/>
          </w:tcPr>
          <w:p w14:paraId="379E6C1F">
            <w:pPr>
              <w:jc w:val="center"/>
              <w:rPr>
                <w:rFonts w:hint="eastAsia"/>
                <w:b/>
                <w:bCs/>
                <w:vertAlign w:val="baseline"/>
                <w:lang w:val="en-US" w:eastAsia="zh-CN"/>
              </w:rPr>
            </w:pPr>
            <w:r>
              <w:rPr>
                <w:rFonts w:hint="eastAsia"/>
                <w:color w:val="000000"/>
                <w:vertAlign w:val="baseline"/>
                <w:lang w:val="en-US" w:eastAsia="zh-CN"/>
              </w:rPr>
              <w:t>0.9</w:t>
            </w:r>
          </w:p>
        </w:tc>
        <w:tc>
          <w:tcPr>
            <w:tcW w:w="1510" w:type="dxa"/>
            <w:vAlign w:val="center"/>
          </w:tcPr>
          <w:p w14:paraId="2772FAAF">
            <w:pPr>
              <w:jc w:val="center"/>
              <w:rPr>
                <w:rFonts w:hint="default"/>
                <w:b/>
                <w:bCs/>
                <w:vertAlign w:val="baseline"/>
                <w:lang w:val="en-US" w:eastAsia="zh-CN"/>
              </w:rPr>
            </w:pPr>
            <w:r>
              <w:rPr>
                <w:rFonts w:hint="eastAsia"/>
                <w:b/>
                <w:bCs/>
                <w:vertAlign w:val="baseline"/>
                <w:lang w:val="en-US" w:eastAsia="zh-CN"/>
              </w:rPr>
              <w:t>0.9</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4B31C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2305E98">
            <w:pPr>
              <w:jc w:val="left"/>
              <w:rPr>
                <w:rFonts w:hint="eastAsia"/>
                <w:b/>
                <w:bCs/>
                <w:vertAlign w:val="baseline"/>
                <w:lang w:val="en-US" w:eastAsia="zh-CN"/>
              </w:rPr>
            </w:pPr>
          </w:p>
        </w:tc>
        <w:tc>
          <w:tcPr>
            <w:tcW w:w="9097" w:type="dxa"/>
            <w:vAlign w:val="center"/>
          </w:tcPr>
          <w:p w14:paraId="747D44FE">
            <w:pPr>
              <w:numPr>
                <w:ilvl w:val="0"/>
                <w:numId w:val="0"/>
              </w:numPr>
              <w:ind w:left="0" w:leftChars="0" w:firstLine="0" w:firstLineChars="0"/>
              <w:jc w:val="both"/>
              <w:rPr>
                <w:rFonts w:hint="eastAsia"/>
                <w:b w:val="0"/>
                <w:bCs w:val="0"/>
                <w:color w:val="FF0000"/>
                <w:vertAlign w:val="baseline"/>
                <w:lang w:val="en-US" w:eastAsia="zh-CN"/>
              </w:rPr>
            </w:pPr>
            <w:r>
              <w:rPr>
                <w:rFonts w:hint="eastAsia" w:ascii="宋体" w:hAnsi="宋体"/>
                <w:b w:val="0"/>
                <w:bCs w:val="0"/>
                <w:sz w:val="21"/>
                <w:szCs w:val="21"/>
                <w:lang w:val="en-US" w:eastAsia="zh-CN"/>
              </w:rPr>
              <w:t>1.2022年，</w:t>
            </w:r>
            <w:r>
              <w:rPr>
                <w:rFonts w:hint="eastAsia" w:ascii="宋体" w:hAnsi="宋体"/>
                <w:b/>
                <w:bCs/>
                <w:sz w:val="21"/>
                <w:szCs w:val="21"/>
                <w:lang w:eastAsia="zh-CN"/>
              </w:rPr>
              <w:t>省级二等奖，</w:t>
            </w:r>
            <w:r>
              <w:rPr>
                <w:rFonts w:hint="eastAsia" w:ascii="宋体" w:hAnsi="宋体"/>
                <w:b w:val="0"/>
                <w:bCs w:val="0"/>
                <w:sz w:val="21"/>
                <w:szCs w:val="21"/>
                <w:lang w:eastAsia="zh-CN"/>
              </w:rPr>
              <w:t>关于依托湖南开放大学建设湖南老年大学的建议，决策咨询报告，独著，湖南省教育厅</w:t>
            </w:r>
            <w:r>
              <w:rPr>
                <w:rFonts w:hint="eastAsia" w:ascii="宋体" w:hAnsi="宋体"/>
                <w:b/>
                <w:bCs/>
                <w:sz w:val="21"/>
                <w:szCs w:val="21"/>
                <w:lang w:eastAsia="zh-CN"/>
              </w:rPr>
              <w:t>；</w:t>
            </w:r>
          </w:p>
        </w:tc>
        <w:tc>
          <w:tcPr>
            <w:tcW w:w="1511" w:type="dxa"/>
            <w:vAlign w:val="center"/>
          </w:tcPr>
          <w:p w14:paraId="3C6B8EB6">
            <w:pPr>
              <w:jc w:val="center"/>
              <w:rPr>
                <w:rFonts w:hint="eastAsia"/>
                <w:b/>
                <w:bCs/>
                <w:vertAlign w:val="baseline"/>
                <w:lang w:val="en-US" w:eastAsia="zh-CN"/>
              </w:rPr>
            </w:pPr>
            <w:r>
              <w:rPr>
                <w:rFonts w:hint="eastAsia"/>
                <w:color w:val="000000"/>
                <w:vertAlign w:val="baseline"/>
                <w:lang w:val="en-US" w:eastAsia="zh-CN"/>
              </w:rPr>
              <w:t>327-330</w:t>
            </w:r>
          </w:p>
        </w:tc>
        <w:tc>
          <w:tcPr>
            <w:tcW w:w="1318" w:type="dxa"/>
            <w:vAlign w:val="center"/>
          </w:tcPr>
          <w:p w14:paraId="02431537">
            <w:pPr>
              <w:jc w:val="center"/>
              <w:rPr>
                <w:rFonts w:hint="eastAsia"/>
                <w:b/>
                <w:bCs/>
                <w:vertAlign w:val="baseline"/>
                <w:lang w:val="en-US" w:eastAsia="zh-CN"/>
              </w:rPr>
            </w:pPr>
            <w:r>
              <w:rPr>
                <w:rFonts w:hint="eastAsia"/>
                <w:color w:val="000000"/>
                <w:vertAlign w:val="baseline"/>
                <w:lang w:val="en-US" w:eastAsia="zh-CN"/>
              </w:rPr>
              <w:t>6</w:t>
            </w:r>
          </w:p>
        </w:tc>
        <w:tc>
          <w:tcPr>
            <w:tcW w:w="1510" w:type="dxa"/>
            <w:vAlign w:val="center"/>
          </w:tcPr>
          <w:p w14:paraId="214B5154">
            <w:pPr>
              <w:jc w:val="center"/>
              <w:rPr>
                <w:rFonts w:hint="default"/>
                <w:b/>
                <w:bCs/>
                <w:vertAlign w:val="baseline"/>
                <w:lang w:val="en-US" w:eastAsia="zh-CN"/>
              </w:rPr>
            </w:pPr>
            <w:r>
              <w:rPr>
                <w:rFonts w:hint="eastAsia"/>
                <w:b/>
                <w:bCs/>
                <w:vertAlign w:val="baseline"/>
                <w:lang w:val="en-US" w:eastAsia="zh-CN"/>
              </w:rPr>
              <w:t>6</w:t>
            </w:r>
          </w:p>
        </w:tc>
      </w:tr>
      <w:tr w14:paraId="0C7B3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F17A9C">
            <w:pPr>
              <w:jc w:val="left"/>
              <w:rPr>
                <w:rFonts w:hint="eastAsia"/>
                <w:b/>
                <w:bCs/>
                <w:vertAlign w:val="baseline"/>
                <w:lang w:val="en-US" w:eastAsia="zh-CN"/>
              </w:rPr>
            </w:pPr>
          </w:p>
        </w:tc>
        <w:tc>
          <w:tcPr>
            <w:tcW w:w="9097" w:type="dxa"/>
            <w:vAlign w:val="center"/>
          </w:tcPr>
          <w:p w14:paraId="41D06FF3">
            <w:pPr>
              <w:numPr>
                <w:ilvl w:val="0"/>
                <w:numId w:val="0"/>
              </w:numPr>
              <w:ind w:left="0" w:leftChars="0" w:firstLine="0" w:firstLineChars="0"/>
              <w:jc w:val="both"/>
              <w:rPr>
                <w:rFonts w:hint="eastAsia"/>
                <w:b w:val="0"/>
                <w:bCs w:val="0"/>
                <w:color w:val="FF0000"/>
                <w:vertAlign w:val="baseline"/>
                <w:lang w:val="en-US" w:eastAsia="zh-CN"/>
              </w:rPr>
            </w:pPr>
            <w:r>
              <w:rPr>
                <w:rFonts w:hint="eastAsia" w:ascii="宋体" w:hAnsi="宋体"/>
                <w:b w:val="0"/>
                <w:bCs w:val="0"/>
                <w:sz w:val="21"/>
                <w:szCs w:val="21"/>
                <w:lang w:val="en-US" w:eastAsia="zh-CN"/>
              </w:rPr>
              <w:t>2.2023年8月牵头撰写将老年大学建设列入省民生实事项目，被省委省政府采纳，2024年1月召开省政府常务会议，提质改造100所爱晚老年学校列入2024年省政府民生实事项目，为开放大学办学体系争取财政资金5000万元，目前全省已建成114所爱晚老年学校，</w:t>
            </w:r>
            <w:r>
              <w:rPr>
                <w:rFonts w:hint="eastAsia" w:ascii="宋体" w:hAnsi="宋体"/>
                <w:b/>
                <w:bCs/>
                <w:sz w:val="21"/>
                <w:szCs w:val="21"/>
                <w:lang w:eastAsia="zh-CN"/>
              </w:rPr>
              <w:t>参照省部级，一等奖，排</w:t>
            </w:r>
            <w:r>
              <w:rPr>
                <w:rFonts w:hint="eastAsia" w:ascii="宋体" w:hAnsi="宋体"/>
                <w:b/>
                <w:bCs/>
                <w:sz w:val="21"/>
                <w:szCs w:val="21"/>
                <w:lang w:val="en-US" w:eastAsia="zh-CN"/>
              </w:rPr>
              <w:t>1</w:t>
            </w:r>
          </w:p>
        </w:tc>
        <w:tc>
          <w:tcPr>
            <w:tcW w:w="1511" w:type="dxa"/>
            <w:vAlign w:val="center"/>
          </w:tcPr>
          <w:p w14:paraId="0C30A59F">
            <w:pPr>
              <w:jc w:val="center"/>
              <w:rPr>
                <w:rFonts w:hint="eastAsia"/>
                <w:b/>
                <w:bCs/>
                <w:vertAlign w:val="baseline"/>
                <w:lang w:val="en-US" w:eastAsia="zh-CN"/>
              </w:rPr>
            </w:pPr>
            <w:r>
              <w:rPr>
                <w:rFonts w:hint="eastAsia"/>
                <w:color w:val="000000"/>
                <w:vertAlign w:val="baseline"/>
                <w:lang w:val="en-US" w:eastAsia="zh-CN"/>
              </w:rPr>
              <w:t>339-366</w:t>
            </w:r>
          </w:p>
        </w:tc>
        <w:tc>
          <w:tcPr>
            <w:tcW w:w="1318" w:type="dxa"/>
            <w:vAlign w:val="center"/>
          </w:tcPr>
          <w:p w14:paraId="78A29A91">
            <w:pPr>
              <w:jc w:val="center"/>
              <w:rPr>
                <w:rFonts w:hint="eastAsia"/>
                <w:b/>
                <w:bCs/>
                <w:vertAlign w:val="baseline"/>
                <w:lang w:val="en-US" w:eastAsia="zh-CN"/>
              </w:rPr>
            </w:pPr>
            <w:r>
              <w:rPr>
                <w:rFonts w:hint="eastAsia"/>
                <w:color w:val="000000"/>
                <w:vertAlign w:val="baseline"/>
                <w:lang w:val="en-US" w:eastAsia="zh-CN"/>
              </w:rPr>
              <w:t>10</w:t>
            </w:r>
          </w:p>
        </w:tc>
        <w:tc>
          <w:tcPr>
            <w:tcW w:w="1510" w:type="dxa"/>
            <w:vAlign w:val="center"/>
          </w:tcPr>
          <w:p w14:paraId="32459893">
            <w:pPr>
              <w:jc w:val="center"/>
              <w:rPr>
                <w:rFonts w:hint="default"/>
                <w:b/>
                <w:bCs/>
                <w:vertAlign w:val="baseline"/>
                <w:lang w:val="en-US" w:eastAsia="zh-CN"/>
              </w:rPr>
            </w:pPr>
            <w:r>
              <w:rPr>
                <w:rFonts w:hint="eastAsia"/>
                <w:b/>
                <w:bCs/>
                <w:vertAlign w:val="baseline"/>
                <w:lang w:val="en-US" w:eastAsia="zh-CN"/>
              </w:rPr>
              <w:t>0</w:t>
            </w:r>
          </w:p>
        </w:tc>
      </w:tr>
      <w:tr w14:paraId="45C1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4C54360">
            <w:pPr>
              <w:jc w:val="left"/>
              <w:rPr>
                <w:rFonts w:hint="eastAsia"/>
                <w:b/>
                <w:bCs/>
                <w:vertAlign w:val="baseline"/>
                <w:lang w:val="en-US" w:eastAsia="zh-CN"/>
              </w:rPr>
            </w:pPr>
          </w:p>
        </w:tc>
        <w:tc>
          <w:tcPr>
            <w:tcW w:w="9097" w:type="dxa"/>
            <w:vAlign w:val="center"/>
          </w:tcPr>
          <w:p w14:paraId="240E547D">
            <w:pPr>
              <w:numPr>
                <w:ilvl w:val="0"/>
                <w:numId w:val="0"/>
              </w:numPr>
              <w:ind w:left="0" w:leftChars="0" w:firstLine="0" w:firstLineChars="0"/>
              <w:jc w:val="both"/>
              <w:rPr>
                <w:rFonts w:hint="eastAsia"/>
                <w:b w:val="0"/>
                <w:bCs w:val="0"/>
                <w:color w:val="FF0000"/>
                <w:vertAlign w:val="baseline"/>
                <w:lang w:val="en-US" w:eastAsia="zh-CN"/>
              </w:rPr>
            </w:pPr>
            <w:r>
              <w:rPr>
                <w:rFonts w:hint="eastAsia" w:ascii="宋体" w:hAnsi="宋体"/>
                <w:b w:val="0"/>
                <w:bCs w:val="0"/>
                <w:sz w:val="21"/>
                <w:szCs w:val="21"/>
                <w:lang w:val="en-US" w:eastAsia="zh-CN"/>
              </w:rPr>
              <w:t>3.2022年，省级优秀，湖南开放大学社区家庭教育科学普及基地在2022年评为优秀省级科普基地，排1，湖南省社科联</w:t>
            </w:r>
            <w:r>
              <w:rPr>
                <w:rFonts w:hint="eastAsia" w:ascii="宋体" w:hAnsi="宋体"/>
                <w:b/>
                <w:bCs/>
                <w:sz w:val="21"/>
                <w:szCs w:val="21"/>
                <w:lang w:val="en-US" w:eastAsia="zh-CN"/>
              </w:rPr>
              <w:t>；</w:t>
            </w:r>
          </w:p>
        </w:tc>
        <w:tc>
          <w:tcPr>
            <w:tcW w:w="1511" w:type="dxa"/>
            <w:vAlign w:val="center"/>
          </w:tcPr>
          <w:p w14:paraId="23E59A20">
            <w:pPr>
              <w:jc w:val="center"/>
              <w:rPr>
                <w:rFonts w:hint="eastAsia"/>
                <w:b/>
                <w:bCs/>
                <w:vertAlign w:val="baseline"/>
                <w:lang w:val="en-US" w:eastAsia="zh-CN"/>
              </w:rPr>
            </w:pPr>
            <w:r>
              <w:rPr>
                <w:rFonts w:hint="eastAsia"/>
                <w:color w:val="000000"/>
                <w:vertAlign w:val="baseline"/>
                <w:lang w:val="en-US" w:eastAsia="zh-CN"/>
              </w:rPr>
              <w:t>367-369</w:t>
            </w:r>
          </w:p>
        </w:tc>
        <w:tc>
          <w:tcPr>
            <w:tcW w:w="1318" w:type="dxa"/>
            <w:vAlign w:val="center"/>
          </w:tcPr>
          <w:p w14:paraId="0B605A54">
            <w:pPr>
              <w:jc w:val="center"/>
              <w:rPr>
                <w:rFonts w:hint="eastAsia"/>
                <w:b/>
                <w:bCs/>
                <w:vertAlign w:val="baseline"/>
                <w:lang w:val="en-US" w:eastAsia="zh-CN"/>
              </w:rPr>
            </w:pPr>
            <w:r>
              <w:rPr>
                <w:rFonts w:hint="eastAsia"/>
                <w:color w:val="000000"/>
                <w:vertAlign w:val="baseline"/>
                <w:lang w:val="en-US" w:eastAsia="zh-CN"/>
              </w:rPr>
              <w:t>10</w:t>
            </w:r>
          </w:p>
        </w:tc>
        <w:tc>
          <w:tcPr>
            <w:tcW w:w="1510" w:type="dxa"/>
            <w:vAlign w:val="center"/>
          </w:tcPr>
          <w:p w14:paraId="59D438D1">
            <w:pPr>
              <w:jc w:val="center"/>
              <w:rPr>
                <w:rFonts w:hint="default"/>
                <w:b/>
                <w:bCs/>
                <w:vertAlign w:val="baseline"/>
                <w:lang w:val="en-US" w:eastAsia="zh-CN"/>
              </w:rPr>
            </w:pPr>
            <w:r>
              <w:rPr>
                <w:rFonts w:hint="eastAsia"/>
                <w:b/>
                <w:bCs/>
                <w:vertAlign w:val="baseline"/>
                <w:lang w:val="en-US" w:eastAsia="zh-CN"/>
              </w:rPr>
              <w:t>0</w:t>
            </w:r>
          </w:p>
        </w:tc>
      </w:tr>
      <w:tr w14:paraId="0713A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C0BDAB">
            <w:pPr>
              <w:jc w:val="left"/>
              <w:rPr>
                <w:rFonts w:hint="eastAsia"/>
                <w:b/>
                <w:bCs/>
                <w:vertAlign w:val="baseline"/>
                <w:lang w:val="en-US" w:eastAsia="zh-CN"/>
              </w:rPr>
            </w:pPr>
          </w:p>
        </w:tc>
        <w:tc>
          <w:tcPr>
            <w:tcW w:w="9097" w:type="dxa"/>
            <w:vAlign w:val="center"/>
          </w:tcPr>
          <w:p w14:paraId="139A4896">
            <w:pPr>
              <w:rPr>
                <w:rFonts w:hint="eastAsia"/>
                <w:b w:val="0"/>
                <w:bCs w:val="0"/>
                <w:color w:val="FF0000"/>
                <w:vertAlign w:val="baseline"/>
                <w:lang w:val="en-US" w:eastAsia="zh-CN"/>
              </w:rPr>
            </w:pPr>
            <w:r>
              <w:rPr>
                <w:rFonts w:hint="eastAsia" w:ascii="宋体" w:hAnsi="宋体" w:eastAsia="宋体" w:cs="宋体"/>
                <w:b w:val="0"/>
                <w:bCs w:val="0"/>
                <w:sz w:val="21"/>
                <w:szCs w:val="21"/>
                <w:vertAlign w:val="baseline"/>
                <w:lang w:val="en-US" w:eastAsia="zh-CN"/>
              </w:rPr>
              <w:t>4.2022年，省部级，</w:t>
            </w:r>
            <w:r>
              <w:rPr>
                <w:rFonts w:hint="eastAsia" w:ascii="宋体" w:hAnsi="宋体" w:eastAsia="宋体" w:cs="宋体"/>
                <w:b w:val="0"/>
                <w:bCs w:val="0"/>
                <w:sz w:val="21"/>
                <w:szCs w:val="21"/>
                <w:vertAlign w:val="baseline"/>
                <w:lang w:eastAsia="zh-CN"/>
              </w:rPr>
              <w:t>湖南开放大学“依托社区教育机构，开展社区家庭教育”社区教育实践创新项目获</w:t>
            </w:r>
            <w:r>
              <w:rPr>
                <w:rFonts w:hint="eastAsia" w:ascii="宋体" w:hAnsi="宋体" w:cs="宋体"/>
                <w:b w:val="0"/>
                <w:bCs w:val="0"/>
                <w:sz w:val="21"/>
                <w:szCs w:val="21"/>
                <w:vertAlign w:val="baseline"/>
                <w:lang w:val="en-US" w:eastAsia="zh-CN"/>
              </w:rPr>
              <w:t>2021年</w:t>
            </w:r>
            <w:r>
              <w:rPr>
                <w:rFonts w:hint="eastAsia" w:ascii="宋体" w:hAnsi="宋体" w:eastAsia="宋体" w:cs="宋体"/>
                <w:b w:val="0"/>
                <w:bCs w:val="0"/>
                <w:sz w:val="21"/>
                <w:szCs w:val="21"/>
                <w:vertAlign w:val="baseline"/>
                <w:lang w:eastAsia="zh-CN"/>
              </w:rPr>
              <w:t>教育部首批“能者为师”优秀实践创新项目</w:t>
            </w:r>
            <w:r>
              <w:rPr>
                <w:rFonts w:hint="eastAsia" w:ascii="宋体" w:hAnsi="宋体" w:cs="宋体"/>
                <w:b w:val="0"/>
                <w:bCs w:val="0"/>
                <w:sz w:val="21"/>
                <w:szCs w:val="21"/>
                <w:vertAlign w:val="baseline"/>
                <w:lang w:eastAsia="zh-CN"/>
              </w:rPr>
              <w:t>，</w:t>
            </w:r>
            <w:r>
              <w:rPr>
                <w:rFonts w:hint="eastAsia" w:ascii="宋体" w:hAnsi="宋体" w:cs="宋体"/>
                <w:b/>
                <w:bCs/>
                <w:sz w:val="21"/>
                <w:szCs w:val="21"/>
                <w:vertAlign w:val="baseline"/>
                <w:lang w:eastAsia="zh-CN"/>
              </w:rPr>
              <w:t>排</w:t>
            </w:r>
            <w:r>
              <w:rPr>
                <w:rFonts w:hint="eastAsia" w:ascii="宋体" w:hAnsi="宋体" w:cs="宋体"/>
                <w:b/>
                <w:bCs/>
                <w:sz w:val="21"/>
                <w:szCs w:val="21"/>
                <w:vertAlign w:val="baseline"/>
                <w:lang w:val="en-US" w:eastAsia="zh-CN"/>
              </w:rPr>
              <w:t>1，</w:t>
            </w:r>
            <w:r>
              <w:rPr>
                <w:rFonts w:hint="eastAsia" w:ascii="宋体" w:hAnsi="宋体" w:cs="宋体"/>
                <w:b w:val="0"/>
                <w:bCs w:val="0"/>
                <w:sz w:val="21"/>
                <w:szCs w:val="21"/>
                <w:vertAlign w:val="baseline"/>
                <w:lang w:val="en-US" w:eastAsia="zh-CN"/>
              </w:rPr>
              <w:t>教育部职业教育与成人教育司</w:t>
            </w:r>
            <w:r>
              <w:rPr>
                <w:rFonts w:hint="eastAsia" w:ascii="宋体" w:hAnsi="宋体" w:cs="宋体"/>
                <w:b/>
                <w:bCs/>
                <w:sz w:val="21"/>
                <w:szCs w:val="21"/>
                <w:vertAlign w:val="baseline"/>
                <w:lang w:val="en-US" w:eastAsia="zh-CN"/>
              </w:rPr>
              <w:t>；</w:t>
            </w:r>
          </w:p>
        </w:tc>
        <w:tc>
          <w:tcPr>
            <w:tcW w:w="1511" w:type="dxa"/>
            <w:vAlign w:val="center"/>
          </w:tcPr>
          <w:p w14:paraId="38A9C508">
            <w:pPr>
              <w:jc w:val="center"/>
              <w:rPr>
                <w:rFonts w:hint="eastAsia"/>
                <w:b/>
                <w:bCs/>
                <w:vertAlign w:val="baseline"/>
                <w:lang w:val="en-US" w:eastAsia="zh-CN"/>
              </w:rPr>
            </w:pPr>
            <w:r>
              <w:rPr>
                <w:rFonts w:hint="eastAsia"/>
                <w:color w:val="000000"/>
                <w:vertAlign w:val="baseline"/>
                <w:lang w:val="en-US" w:eastAsia="zh-CN"/>
              </w:rPr>
              <w:t>381-394</w:t>
            </w:r>
          </w:p>
        </w:tc>
        <w:tc>
          <w:tcPr>
            <w:tcW w:w="1318" w:type="dxa"/>
            <w:vAlign w:val="center"/>
          </w:tcPr>
          <w:p w14:paraId="5DB32DCC">
            <w:pPr>
              <w:jc w:val="center"/>
              <w:rPr>
                <w:rFonts w:hint="eastAsia"/>
                <w:b/>
                <w:bCs/>
                <w:vertAlign w:val="baseline"/>
                <w:lang w:val="en-US" w:eastAsia="zh-CN"/>
              </w:rPr>
            </w:pPr>
            <w:r>
              <w:rPr>
                <w:rFonts w:hint="eastAsia"/>
                <w:color w:val="000000"/>
                <w:vertAlign w:val="baseline"/>
                <w:lang w:val="en-US" w:eastAsia="zh-CN"/>
              </w:rPr>
              <w:t>6</w:t>
            </w:r>
          </w:p>
        </w:tc>
        <w:tc>
          <w:tcPr>
            <w:tcW w:w="1510" w:type="dxa"/>
            <w:vAlign w:val="center"/>
          </w:tcPr>
          <w:p w14:paraId="455D466E">
            <w:pPr>
              <w:jc w:val="center"/>
              <w:rPr>
                <w:rFonts w:hint="default"/>
                <w:b/>
                <w:bCs/>
                <w:vertAlign w:val="baseline"/>
                <w:lang w:val="en-US" w:eastAsia="zh-CN"/>
              </w:rPr>
            </w:pPr>
            <w:r>
              <w:rPr>
                <w:rFonts w:hint="eastAsia"/>
                <w:b/>
                <w:bCs/>
                <w:vertAlign w:val="baseline"/>
                <w:lang w:val="en-US" w:eastAsia="zh-CN"/>
              </w:rPr>
              <w:t>0</w:t>
            </w:r>
          </w:p>
        </w:tc>
      </w:tr>
      <w:tr w14:paraId="5EA33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04D75E2">
            <w:pPr>
              <w:jc w:val="left"/>
              <w:rPr>
                <w:rFonts w:hint="eastAsia"/>
                <w:b/>
                <w:bCs/>
                <w:vertAlign w:val="baseline"/>
                <w:lang w:val="en-US" w:eastAsia="zh-CN"/>
              </w:rPr>
            </w:pPr>
          </w:p>
        </w:tc>
        <w:tc>
          <w:tcPr>
            <w:tcW w:w="9097" w:type="dxa"/>
            <w:vAlign w:val="center"/>
          </w:tcPr>
          <w:p w14:paraId="1303ECE1">
            <w:pPr>
              <w:rPr>
                <w:rFonts w:hint="default"/>
                <w:b w:val="0"/>
                <w:bCs w:val="0"/>
                <w:color w:val="FF0000"/>
                <w:vertAlign w:val="baseline"/>
                <w:lang w:val="en-US" w:eastAsia="zh-CN"/>
              </w:rPr>
            </w:pPr>
            <w:r>
              <w:rPr>
                <w:rFonts w:hint="eastAsia" w:ascii="宋体" w:hAnsi="宋体" w:eastAsia="宋体" w:cs="宋体"/>
                <w:b w:val="0"/>
                <w:bCs w:val="0"/>
                <w:sz w:val="21"/>
                <w:szCs w:val="21"/>
                <w:vertAlign w:val="baseline"/>
                <w:lang w:val="en-US" w:eastAsia="zh-CN"/>
              </w:rPr>
              <w:t>5.2021年，省级，</w:t>
            </w:r>
            <w:r>
              <w:rPr>
                <w:rFonts w:hint="eastAsia" w:ascii="宋体" w:hAnsi="宋体" w:eastAsia="宋体" w:cs="宋体"/>
                <w:b w:val="0"/>
                <w:bCs w:val="0"/>
                <w:sz w:val="21"/>
                <w:szCs w:val="21"/>
                <w:vertAlign w:val="baseline"/>
                <w:lang w:eastAsia="zh-CN"/>
              </w:rPr>
              <w:t>湖南开放大学“湖南老科协大讲堂”老年教育实践创新项目荣获教育部</w:t>
            </w:r>
            <w:r>
              <w:rPr>
                <w:rFonts w:hint="eastAsia" w:ascii="宋体" w:hAnsi="宋体" w:cs="宋体"/>
                <w:b w:val="0"/>
                <w:bCs w:val="0"/>
                <w:sz w:val="21"/>
                <w:szCs w:val="21"/>
                <w:vertAlign w:val="baseline"/>
                <w:lang w:val="en-US" w:eastAsia="zh-CN"/>
              </w:rPr>
              <w:t>2021年</w:t>
            </w:r>
            <w:r>
              <w:rPr>
                <w:rFonts w:hint="eastAsia" w:ascii="宋体" w:hAnsi="宋体" w:eastAsia="宋体" w:cs="宋体"/>
                <w:b w:val="0"/>
                <w:bCs w:val="0"/>
                <w:sz w:val="21"/>
                <w:szCs w:val="21"/>
                <w:vertAlign w:val="baseline"/>
                <w:lang w:eastAsia="zh-CN"/>
              </w:rPr>
              <w:t>“能者为师”优秀实践创新项目</w:t>
            </w:r>
            <w:r>
              <w:rPr>
                <w:rFonts w:hint="eastAsia" w:ascii="宋体" w:hAnsi="宋体" w:cs="宋体"/>
                <w:b w:val="0"/>
                <w:bCs w:val="0"/>
                <w:sz w:val="21"/>
                <w:szCs w:val="21"/>
                <w:vertAlign w:val="baseline"/>
                <w:lang w:eastAsia="zh-CN"/>
              </w:rPr>
              <w:t>，</w:t>
            </w:r>
            <w:r>
              <w:rPr>
                <w:rFonts w:hint="eastAsia" w:ascii="宋体" w:hAnsi="宋体" w:cs="宋体"/>
                <w:b/>
                <w:bCs/>
                <w:sz w:val="21"/>
                <w:szCs w:val="21"/>
                <w:vertAlign w:val="baseline"/>
                <w:lang w:eastAsia="zh-CN"/>
              </w:rPr>
              <w:t>排</w:t>
            </w:r>
            <w:r>
              <w:rPr>
                <w:rFonts w:hint="eastAsia" w:ascii="宋体" w:hAnsi="宋体" w:cs="宋体"/>
                <w:b w:val="0"/>
                <w:bCs w:val="0"/>
                <w:sz w:val="21"/>
                <w:szCs w:val="21"/>
                <w:vertAlign w:val="baseline"/>
                <w:lang w:val="en-US" w:eastAsia="zh-CN"/>
              </w:rPr>
              <w:t>1，湖南省教育厅</w:t>
            </w:r>
          </w:p>
        </w:tc>
        <w:tc>
          <w:tcPr>
            <w:tcW w:w="1511" w:type="dxa"/>
            <w:vAlign w:val="center"/>
          </w:tcPr>
          <w:p w14:paraId="6A8F2620">
            <w:pPr>
              <w:jc w:val="center"/>
              <w:rPr>
                <w:rFonts w:hint="eastAsia"/>
                <w:b/>
                <w:bCs/>
                <w:vertAlign w:val="baseline"/>
                <w:lang w:val="en-US" w:eastAsia="zh-CN"/>
              </w:rPr>
            </w:pPr>
            <w:r>
              <w:rPr>
                <w:rFonts w:hint="eastAsia"/>
                <w:color w:val="000000"/>
                <w:vertAlign w:val="baseline"/>
                <w:lang w:val="en-US" w:eastAsia="zh-CN"/>
              </w:rPr>
              <w:t>395-406</w:t>
            </w:r>
          </w:p>
        </w:tc>
        <w:tc>
          <w:tcPr>
            <w:tcW w:w="1318" w:type="dxa"/>
            <w:vAlign w:val="center"/>
          </w:tcPr>
          <w:p w14:paraId="48290D21">
            <w:pPr>
              <w:jc w:val="center"/>
              <w:rPr>
                <w:rFonts w:hint="eastAsia"/>
                <w:b/>
                <w:bCs/>
                <w:vertAlign w:val="baseline"/>
                <w:lang w:val="en-US" w:eastAsia="zh-CN"/>
              </w:rPr>
            </w:pPr>
            <w:r>
              <w:rPr>
                <w:rFonts w:hint="eastAsia"/>
                <w:color w:val="000000"/>
                <w:vertAlign w:val="baseline"/>
                <w:lang w:val="en-US" w:eastAsia="zh-CN"/>
              </w:rPr>
              <w:t>6</w:t>
            </w:r>
          </w:p>
        </w:tc>
        <w:tc>
          <w:tcPr>
            <w:tcW w:w="1510" w:type="dxa"/>
            <w:vAlign w:val="center"/>
          </w:tcPr>
          <w:p w14:paraId="23E4F638">
            <w:pPr>
              <w:jc w:val="center"/>
              <w:rPr>
                <w:rFonts w:hint="default"/>
                <w:b/>
                <w:bCs/>
                <w:vertAlign w:val="baseline"/>
                <w:lang w:val="en-US" w:eastAsia="zh-CN"/>
              </w:rPr>
            </w:pPr>
            <w:r>
              <w:rPr>
                <w:rFonts w:hint="eastAsia"/>
                <w:b/>
                <w:bCs/>
                <w:vertAlign w:val="baseline"/>
                <w:lang w:val="en-US" w:eastAsia="zh-CN"/>
              </w:rPr>
              <w:t>0</w:t>
            </w:r>
          </w:p>
        </w:tc>
      </w:tr>
      <w:tr w14:paraId="26162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6969B2">
            <w:pPr>
              <w:jc w:val="left"/>
              <w:rPr>
                <w:rFonts w:hint="eastAsia"/>
                <w:b/>
                <w:bCs/>
                <w:vertAlign w:val="baseline"/>
                <w:lang w:val="en-US" w:eastAsia="zh-CN"/>
              </w:rPr>
            </w:pPr>
          </w:p>
        </w:tc>
        <w:tc>
          <w:tcPr>
            <w:tcW w:w="9097" w:type="dxa"/>
            <w:vAlign w:val="center"/>
          </w:tcPr>
          <w:p w14:paraId="35BD8C53">
            <w:pPr>
              <w:numPr>
                <w:ilvl w:val="0"/>
                <w:numId w:val="0"/>
              </w:numPr>
              <w:ind w:left="0" w:leftChars="0" w:firstLine="0" w:firstLineChars="0"/>
              <w:jc w:val="both"/>
              <w:rPr>
                <w:rFonts w:hint="eastAsia"/>
                <w:b w:val="0"/>
                <w:bCs w:val="0"/>
                <w:color w:val="FF0000"/>
                <w:vertAlign w:val="baseline"/>
                <w:lang w:val="en-US" w:eastAsia="zh-CN"/>
              </w:rPr>
            </w:pPr>
            <w:r>
              <w:rPr>
                <w:rFonts w:hint="eastAsia" w:ascii="宋体" w:hAnsi="宋体" w:cs="宋体"/>
                <w:sz w:val="21"/>
                <w:szCs w:val="21"/>
                <w:lang w:val="en-US" w:eastAsia="zh-CN"/>
              </w:rPr>
              <w:t>6.</w:t>
            </w:r>
            <w:r>
              <w:rPr>
                <w:rFonts w:hint="eastAsia"/>
                <w:kern w:val="0"/>
                <w:szCs w:val="21"/>
                <w:lang w:val="en-US" w:eastAsia="zh-CN"/>
              </w:rPr>
              <w:t>2017年，</w:t>
            </w:r>
            <w:r>
              <w:rPr>
                <w:rFonts w:hint="eastAsia" w:ascii="宋体" w:hAnsi="宋体" w:cs="宋体"/>
                <w:sz w:val="21"/>
                <w:szCs w:val="21"/>
                <w:lang w:val="en-US" w:eastAsia="zh-CN"/>
              </w:rPr>
              <w:t>思想政治教育方法规律研究，</w:t>
            </w:r>
            <w:r>
              <w:rPr>
                <w:rFonts w:hint="eastAsia"/>
                <w:kern w:val="0"/>
                <w:szCs w:val="21"/>
                <w:lang w:eastAsia="zh-CN"/>
              </w:rPr>
              <w:t>鉴定成果奖，</w:t>
            </w:r>
            <w:r>
              <w:rPr>
                <w:rFonts w:hint="eastAsia"/>
                <w:kern w:val="0"/>
                <w:szCs w:val="21"/>
                <w:lang w:val="en-US" w:eastAsia="zh-CN"/>
              </w:rPr>
              <w:t>独著</w:t>
            </w:r>
            <w:r>
              <w:rPr>
                <w:rFonts w:hint="eastAsia"/>
                <w:kern w:val="0"/>
                <w:szCs w:val="21"/>
                <w:lang w:eastAsia="zh-CN"/>
              </w:rPr>
              <w:t>，湖南省社会科学成果评审委员会办公室；</w:t>
            </w:r>
          </w:p>
        </w:tc>
        <w:tc>
          <w:tcPr>
            <w:tcW w:w="1511" w:type="dxa"/>
            <w:vAlign w:val="center"/>
          </w:tcPr>
          <w:p w14:paraId="14BACE65">
            <w:pPr>
              <w:jc w:val="center"/>
              <w:rPr>
                <w:rFonts w:hint="eastAsia"/>
                <w:b/>
                <w:bCs/>
                <w:vertAlign w:val="baseline"/>
                <w:lang w:val="en-US" w:eastAsia="zh-CN"/>
              </w:rPr>
            </w:pPr>
            <w:r>
              <w:rPr>
                <w:rFonts w:hint="eastAsia"/>
                <w:color w:val="000000"/>
                <w:vertAlign w:val="baseline"/>
                <w:lang w:val="en-US" w:eastAsia="zh-CN"/>
              </w:rPr>
              <w:t>430</w:t>
            </w:r>
          </w:p>
        </w:tc>
        <w:tc>
          <w:tcPr>
            <w:tcW w:w="1318" w:type="dxa"/>
            <w:vAlign w:val="center"/>
          </w:tcPr>
          <w:p w14:paraId="610F9073">
            <w:pPr>
              <w:jc w:val="center"/>
              <w:rPr>
                <w:rFonts w:hint="eastAsia"/>
                <w:b/>
                <w:bCs/>
                <w:vertAlign w:val="baseline"/>
                <w:lang w:val="en-US" w:eastAsia="zh-CN"/>
              </w:rPr>
            </w:pPr>
            <w:r>
              <w:rPr>
                <w:rFonts w:hint="eastAsia"/>
                <w:color w:val="000000"/>
                <w:vertAlign w:val="baseline"/>
                <w:lang w:val="en-US" w:eastAsia="zh-CN"/>
              </w:rPr>
              <w:t>1</w:t>
            </w:r>
          </w:p>
        </w:tc>
        <w:tc>
          <w:tcPr>
            <w:tcW w:w="1510" w:type="dxa"/>
            <w:vAlign w:val="center"/>
          </w:tcPr>
          <w:p w14:paraId="0242A07F">
            <w:pPr>
              <w:jc w:val="center"/>
              <w:rPr>
                <w:rFonts w:hint="default"/>
                <w:b/>
                <w:bCs/>
                <w:vertAlign w:val="baseline"/>
                <w:lang w:val="en-US" w:eastAsia="zh-CN"/>
              </w:rPr>
            </w:pPr>
            <w:r>
              <w:rPr>
                <w:rFonts w:hint="eastAsia"/>
                <w:b/>
                <w:bCs/>
                <w:vertAlign w:val="baseline"/>
                <w:lang w:val="en-US" w:eastAsia="zh-CN"/>
              </w:rPr>
              <w:t>0</w:t>
            </w:r>
          </w:p>
        </w:tc>
      </w:tr>
      <w:tr w14:paraId="55F73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08A392F">
            <w:pPr>
              <w:jc w:val="left"/>
              <w:rPr>
                <w:rFonts w:hint="eastAsia"/>
                <w:b/>
                <w:bCs/>
                <w:vertAlign w:val="baseline"/>
                <w:lang w:val="en-US" w:eastAsia="zh-CN"/>
              </w:rPr>
            </w:pPr>
          </w:p>
        </w:tc>
        <w:tc>
          <w:tcPr>
            <w:tcW w:w="9097" w:type="dxa"/>
            <w:vAlign w:val="center"/>
          </w:tcPr>
          <w:p w14:paraId="74FEBDC4">
            <w:pPr>
              <w:numPr>
                <w:ilvl w:val="0"/>
                <w:numId w:val="0"/>
              </w:numPr>
              <w:ind w:left="0" w:leftChars="0" w:firstLine="0" w:firstLineChars="0"/>
              <w:jc w:val="both"/>
              <w:rPr>
                <w:rFonts w:hint="eastAsia"/>
                <w:b w:val="0"/>
                <w:bCs w:val="0"/>
                <w:color w:val="FF0000"/>
                <w:vertAlign w:val="baseline"/>
                <w:lang w:val="en-US" w:eastAsia="zh-CN"/>
              </w:rPr>
            </w:pPr>
            <w:r>
              <w:rPr>
                <w:rFonts w:hint="eastAsia" w:ascii="宋体" w:hAnsi="宋体" w:cs="宋体"/>
                <w:sz w:val="21"/>
                <w:szCs w:val="21"/>
                <w:lang w:val="en-US" w:eastAsia="zh-CN"/>
              </w:rPr>
              <w:t>7.</w:t>
            </w:r>
            <w:r>
              <w:rPr>
                <w:rFonts w:hint="eastAsia"/>
                <w:kern w:val="0"/>
                <w:szCs w:val="21"/>
                <w:lang w:val="en-US" w:eastAsia="zh-CN"/>
              </w:rPr>
              <w:t>2020年，</w:t>
            </w:r>
            <w:r>
              <w:rPr>
                <w:rFonts w:hint="eastAsia" w:ascii="宋体" w:hAnsi="宋体" w:cs="宋体"/>
                <w:sz w:val="21"/>
                <w:szCs w:val="21"/>
                <w:lang w:eastAsia="zh-CN"/>
              </w:rPr>
              <w:t>行业型职教集团内涵建设与发展研究，</w:t>
            </w:r>
            <w:r>
              <w:rPr>
                <w:rFonts w:hint="eastAsia"/>
                <w:kern w:val="0"/>
                <w:szCs w:val="21"/>
                <w:lang w:val="en-US" w:eastAsia="zh-CN"/>
              </w:rPr>
              <w:t>排5，</w:t>
            </w:r>
            <w:r>
              <w:rPr>
                <w:rFonts w:hint="eastAsia"/>
                <w:kern w:val="0"/>
                <w:szCs w:val="21"/>
                <w:lang w:eastAsia="zh-CN"/>
              </w:rPr>
              <w:t>湖南省社会科学成果评审委员会办公室</w:t>
            </w:r>
            <w:r>
              <w:rPr>
                <w:rFonts w:hint="eastAsia"/>
                <w:kern w:val="0"/>
                <w:szCs w:val="21"/>
                <w:lang w:val="en-US" w:eastAsia="zh-CN"/>
              </w:rPr>
              <w:t>。</w:t>
            </w:r>
          </w:p>
        </w:tc>
        <w:tc>
          <w:tcPr>
            <w:tcW w:w="1511" w:type="dxa"/>
            <w:vAlign w:val="center"/>
          </w:tcPr>
          <w:p w14:paraId="44086823">
            <w:pPr>
              <w:jc w:val="center"/>
              <w:rPr>
                <w:rFonts w:hint="eastAsia"/>
                <w:b/>
                <w:bCs/>
                <w:vertAlign w:val="baseline"/>
                <w:lang w:val="en-US" w:eastAsia="zh-CN"/>
              </w:rPr>
            </w:pPr>
            <w:r>
              <w:rPr>
                <w:rFonts w:hint="eastAsia"/>
                <w:color w:val="000000"/>
                <w:vertAlign w:val="baseline"/>
                <w:lang w:val="en-US" w:eastAsia="zh-CN"/>
              </w:rPr>
              <w:t>431</w:t>
            </w:r>
          </w:p>
        </w:tc>
        <w:tc>
          <w:tcPr>
            <w:tcW w:w="1318" w:type="dxa"/>
            <w:vAlign w:val="center"/>
          </w:tcPr>
          <w:p w14:paraId="3F066D81">
            <w:pPr>
              <w:jc w:val="center"/>
              <w:rPr>
                <w:rFonts w:hint="default"/>
                <w:b/>
                <w:bCs/>
                <w:vertAlign w:val="baseline"/>
                <w:lang w:val="en-US" w:eastAsia="zh-CN"/>
              </w:rPr>
            </w:pPr>
            <w:r>
              <w:rPr>
                <w:rFonts w:hint="eastAsia"/>
                <w:b/>
                <w:bCs/>
                <w:vertAlign w:val="baseline"/>
                <w:lang w:val="en-US" w:eastAsia="zh-CN"/>
              </w:rPr>
              <w:t>0.2</w:t>
            </w:r>
          </w:p>
        </w:tc>
        <w:tc>
          <w:tcPr>
            <w:tcW w:w="1510" w:type="dxa"/>
            <w:vAlign w:val="center"/>
          </w:tcPr>
          <w:p w14:paraId="291AEC40">
            <w:pPr>
              <w:jc w:val="center"/>
              <w:rPr>
                <w:rFonts w:hint="default"/>
                <w:b/>
                <w:bCs/>
                <w:vertAlign w:val="baseline"/>
                <w:lang w:val="en-US" w:eastAsia="zh-CN"/>
              </w:rPr>
            </w:pPr>
            <w:r>
              <w:rPr>
                <w:rFonts w:hint="eastAsia"/>
                <w:b/>
                <w:bCs/>
                <w:vertAlign w:val="baseline"/>
                <w:lang w:val="en-US" w:eastAsia="zh-CN"/>
              </w:rPr>
              <w:t>0</w:t>
            </w: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51C7C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D5A6">
            <w:pPr>
              <w:jc w:val="left"/>
              <w:rPr>
                <w:rFonts w:hint="eastAsia"/>
                <w:b/>
                <w:bCs/>
                <w:vertAlign w:val="baseline"/>
                <w:lang w:val="en-US" w:eastAsia="zh-CN"/>
              </w:rPr>
            </w:pPr>
          </w:p>
        </w:tc>
        <w:tc>
          <w:tcPr>
            <w:tcW w:w="9097" w:type="dxa"/>
            <w:vAlign w:val="center"/>
          </w:tcPr>
          <w:p w14:paraId="03A458D0">
            <w:pPr>
              <w:jc w:val="both"/>
              <w:rPr>
                <w:rFonts w:hint="eastAsia"/>
                <w:b w:val="0"/>
                <w:bCs w:val="0"/>
                <w:color w:val="FF0000"/>
                <w:vertAlign w:val="baseline"/>
                <w:lang w:val="en-US" w:eastAsia="zh-CN"/>
              </w:rPr>
            </w:pPr>
            <w:r>
              <w:rPr>
                <w:rFonts w:hint="eastAsia"/>
                <w:color w:val="000000"/>
                <w:szCs w:val="21"/>
                <w:lang w:val="en-US" w:eastAsia="zh-CN"/>
              </w:rPr>
              <w:t>1.</w:t>
            </w:r>
            <w:r>
              <w:rPr>
                <w:rFonts w:hint="eastAsia"/>
                <w:b w:val="0"/>
                <w:bCs w:val="0"/>
                <w:sz w:val="21"/>
                <w:szCs w:val="21"/>
                <w:lang w:val="en-US" w:eastAsia="zh-CN"/>
              </w:rPr>
              <w:t>湖南开放大学社区家庭教育科学普及研究基地，2022年，湖南省社科联，2</w:t>
            </w:r>
            <w:r>
              <w:rPr>
                <w:rFonts w:hint="eastAsia"/>
                <w:kern w:val="0"/>
                <w:szCs w:val="21"/>
                <w:lang w:val="en-US" w:eastAsia="zh-CN"/>
              </w:rPr>
              <w:t>022年新建湖南省社</w:t>
            </w:r>
            <w:r>
              <w:rPr>
                <w:rFonts w:hint="eastAsia"/>
                <w:kern w:val="0"/>
                <w:szCs w:val="21"/>
                <w:lang w:eastAsia="zh-CN"/>
              </w:rPr>
              <w:t>科普及基地，</w:t>
            </w:r>
            <w:r>
              <w:rPr>
                <w:rFonts w:hint="eastAsia"/>
                <w:b/>
                <w:bCs/>
                <w:kern w:val="0"/>
                <w:szCs w:val="21"/>
                <w:lang w:eastAsia="zh-CN"/>
              </w:rPr>
              <w:t>主持，</w:t>
            </w:r>
            <w:r>
              <w:rPr>
                <w:rFonts w:hint="eastAsia"/>
                <w:b/>
                <w:bCs/>
                <w:kern w:val="0"/>
                <w:szCs w:val="21"/>
                <w:lang w:val="en-US" w:eastAsia="zh-CN"/>
              </w:rPr>
              <w:t>考核优秀；</w:t>
            </w:r>
          </w:p>
        </w:tc>
        <w:tc>
          <w:tcPr>
            <w:tcW w:w="1511" w:type="dxa"/>
            <w:vAlign w:val="center"/>
          </w:tcPr>
          <w:p w14:paraId="12782693">
            <w:pPr>
              <w:jc w:val="center"/>
              <w:rPr>
                <w:rFonts w:hint="eastAsia"/>
                <w:b/>
                <w:bCs/>
                <w:vertAlign w:val="baseline"/>
                <w:lang w:val="en-US" w:eastAsia="zh-CN"/>
              </w:rPr>
            </w:pPr>
            <w:r>
              <w:rPr>
                <w:rFonts w:hint="eastAsia"/>
                <w:color w:val="000000"/>
                <w:vertAlign w:val="baseline"/>
                <w:lang w:val="en-US" w:eastAsia="zh-CN"/>
              </w:rPr>
              <w:t>281-288</w:t>
            </w:r>
          </w:p>
        </w:tc>
        <w:tc>
          <w:tcPr>
            <w:tcW w:w="1318" w:type="dxa"/>
            <w:vAlign w:val="center"/>
          </w:tcPr>
          <w:p w14:paraId="21401665">
            <w:pPr>
              <w:jc w:val="center"/>
              <w:rPr>
                <w:rFonts w:hint="default"/>
                <w:b/>
                <w:bCs/>
                <w:vertAlign w:val="baseline"/>
                <w:lang w:val="en-US" w:eastAsia="zh-CN"/>
              </w:rPr>
            </w:pPr>
            <w:r>
              <w:rPr>
                <w:rFonts w:hint="eastAsia"/>
                <w:b w:val="0"/>
                <w:bCs w:val="0"/>
                <w:vertAlign w:val="baseline"/>
                <w:lang w:val="en-US" w:eastAsia="zh-CN"/>
              </w:rPr>
              <w:t>6.3</w:t>
            </w:r>
          </w:p>
        </w:tc>
        <w:tc>
          <w:tcPr>
            <w:tcW w:w="1510" w:type="dxa"/>
            <w:vAlign w:val="center"/>
          </w:tcPr>
          <w:p w14:paraId="52FBBA3B">
            <w:pPr>
              <w:jc w:val="center"/>
              <w:rPr>
                <w:rFonts w:hint="default"/>
                <w:b/>
                <w:bCs/>
                <w:vertAlign w:val="baseline"/>
                <w:lang w:val="en-US" w:eastAsia="zh-CN"/>
              </w:rPr>
            </w:pPr>
            <w:r>
              <w:rPr>
                <w:rFonts w:hint="eastAsia"/>
                <w:b/>
                <w:bCs/>
                <w:vertAlign w:val="baseline"/>
                <w:lang w:val="en-US" w:eastAsia="zh-CN"/>
              </w:rPr>
              <w:t>1.575</w:t>
            </w:r>
          </w:p>
        </w:tc>
      </w:tr>
      <w:tr w14:paraId="702FC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92396B1">
            <w:pPr>
              <w:jc w:val="left"/>
              <w:rPr>
                <w:rFonts w:hint="eastAsia"/>
                <w:b/>
                <w:bCs/>
                <w:vertAlign w:val="baseline"/>
                <w:lang w:val="en-US" w:eastAsia="zh-CN"/>
              </w:rPr>
            </w:pPr>
          </w:p>
        </w:tc>
        <w:tc>
          <w:tcPr>
            <w:tcW w:w="9097" w:type="dxa"/>
            <w:vAlign w:val="center"/>
          </w:tcPr>
          <w:p w14:paraId="1B99AB04">
            <w:pPr>
              <w:numPr>
                <w:ilvl w:val="0"/>
                <w:numId w:val="0"/>
              </w:numPr>
              <w:ind w:left="0" w:leftChars="0" w:firstLine="0" w:firstLineChars="0"/>
              <w:jc w:val="both"/>
              <w:rPr>
                <w:rFonts w:hint="eastAsia"/>
                <w:b w:val="0"/>
                <w:bCs w:val="0"/>
                <w:color w:val="FF0000"/>
                <w:vertAlign w:val="baseline"/>
                <w:lang w:val="en-US" w:eastAsia="zh-CN"/>
              </w:rPr>
            </w:pPr>
            <w:r>
              <w:rPr>
                <w:rFonts w:hint="eastAsia"/>
                <w:color w:val="000000"/>
                <w:vertAlign w:val="baseline"/>
                <w:lang w:val="en-US" w:eastAsia="zh-CN"/>
              </w:rPr>
              <w:t>2.</w:t>
            </w:r>
            <w:r>
              <w:rPr>
                <w:rFonts w:hint="eastAsia"/>
                <w:kern w:val="0"/>
                <w:szCs w:val="21"/>
                <w:lang w:eastAsia="zh-CN"/>
              </w:rPr>
              <w:t>终身教育研究基地</w:t>
            </w:r>
            <w:r>
              <w:rPr>
                <w:rFonts w:hint="eastAsia" w:eastAsia="宋体"/>
                <w:kern w:val="0"/>
                <w:szCs w:val="21"/>
                <w:lang w:eastAsia="zh-CN"/>
              </w:rPr>
              <w:t>，</w:t>
            </w:r>
            <w:r>
              <w:rPr>
                <w:rFonts w:hint="eastAsia" w:eastAsia="宋体"/>
                <w:kern w:val="0"/>
                <w:szCs w:val="21"/>
                <w:lang w:val="en-US" w:eastAsia="zh-CN"/>
              </w:rPr>
              <w:t>2022年，湖南省“十四五”教育科学研究重点培育基地，</w:t>
            </w:r>
            <w:r>
              <w:rPr>
                <w:rFonts w:hint="eastAsia" w:eastAsia="宋体"/>
                <w:kern w:val="0"/>
                <w:szCs w:val="21"/>
                <w:lang w:eastAsia="zh-CN"/>
              </w:rPr>
              <w:t>湖</w:t>
            </w:r>
            <w:r>
              <w:rPr>
                <w:rFonts w:hint="eastAsia"/>
                <w:kern w:val="0"/>
                <w:szCs w:val="21"/>
                <w:lang w:eastAsia="zh-CN"/>
              </w:rPr>
              <w:t>南省教育科学规划领导小组，</w:t>
            </w:r>
            <w:r>
              <w:rPr>
                <w:rFonts w:hint="eastAsia"/>
                <w:b/>
                <w:bCs/>
                <w:kern w:val="0"/>
                <w:szCs w:val="21"/>
                <w:lang w:eastAsia="zh-CN"/>
              </w:rPr>
              <w:t>参与方向负责人，</w:t>
            </w:r>
            <w:r>
              <w:rPr>
                <w:rFonts w:hint="eastAsia"/>
                <w:b/>
                <w:bCs/>
                <w:kern w:val="0"/>
                <w:szCs w:val="21"/>
                <w:lang w:val="en-US" w:eastAsia="zh-CN"/>
              </w:rPr>
              <w:t>在研</w:t>
            </w:r>
            <w:r>
              <w:rPr>
                <w:rFonts w:hint="eastAsia"/>
                <w:b/>
                <w:bCs/>
                <w:kern w:val="0"/>
                <w:szCs w:val="21"/>
                <w:lang w:eastAsia="zh-CN"/>
              </w:rPr>
              <w:t>；</w:t>
            </w:r>
          </w:p>
        </w:tc>
        <w:tc>
          <w:tcPr>
            <w:tcW w:w="1511" w:type="dxa"/>
            <w:vAlign w:val="center"/>
          </w:tcPr>
          <w:p w14:paraId="3F37344F">
            <w:pPr>
              <w:jc w:val="center"/>
              <w:rPr>
                <w:rFonts w:hint="eastAsia"/>
                <w:b/>
                <w:bCs/>
                <w:vertAlign w:val="baseline"/>
                <w:lang w:val="en-US" w:eastAsia="zh-CN"/>
              </w:rPr>
            </w:pPr>
            <w:r>
              <w:rPr>
                <w:rFonts w:hint="eastAsia"/>
                <w:color w:val="000000"/>
                <w:vertAlign w:val="baseline"/>
                <w:lang w:val="en-US" w:eastAsia="zh-CN"/>
              </w:rPr>
              <w:t>289-302</w:t>
            </w:r>
          </w:p>
        </w:tc>
        <w:tc>
          <w:tcPr>
            <w:tcW w:w="1318" w:type="dxa"/>
            <w:vAlign w:val="center"/>
          </w:tcPr>
          <w:p w14:paraId="1C3CE87F">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3.5</w:t>
            </w:r>
          </w:p>
        </w:tc>
        <w:tc>
          <w:tcPr>
            <w:tcW w:w="1510" w:type="dxa"/>
            <w:vAlign w:val="center"/>
          </w:tcPr>
          <w:p w14:paraId="41511328">
            <w:pPr>
              <w:jc w:val="center"/>
              <w:rPr>
                <w:rFonts w:hint="default"/>
                <w:b/>
                <w:bCs/>
                <w:vertAlign w:val="baseline"/>
                <w:lang w:val="en-US" w:eastAsia="zh-CN"/>
              </w:rPr>
            </w:pPr>
            <w:r>
              <w:rPr>
                <w:rFonts w:hint="eastAsia"/>
                <w:b/>
                <w:bCs/>
                <w:vertAlign w:val="baseline"/>
                <w:lang w:val="en-US" w:eastAsia="zh-CN"/>
              </w:rPr>
              <w:t>3.54</w:t>
            </w:r>
          </w:p>
        </w:tc>
      </w:tr>
      <w:tr w14:paraId="2E369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C69CD5D">
            <w:pPr>
              <w:jc w:val="left"/>
              <w:rPr>
                <w:rFonts w:hint="eastAsia"/>
                <w:b/>
                <w:bCs/>
                <w:vertAlign w:val="baseline"/>
                <w:lang w:val="en-US" w:eastAsia="zh-CN"/>
              </w:rPr>
            </w:pPr>
          </w:p>
        </w:tc>
        <w:tc>
          <w:tcPr>
            <w:tcW w:w="9097" w:type="dxa"/>
            <w:vAlign w:val="center"/>
          </w:tcPr>
          <w:p w14:paraId="57B86538">
            <w:pPr>
              <w:numPr>
                <w:ilvl w:val="0"/>
                <w:numId w:val="0"/>
              </w:numPr>
              <w:ind w:left="0" w:leftChars="0" w:firstLine="0" w:firstLineChars="0"/>
              <w:jc w:val="both"/>
              <w:rPr>
                <w:rFonts w:hint="default"/>
                <w:color w:val="000000"/>
                <w:vertAlign w:val="baseline"/>
                <w:lang w:val="en-US" w:eastAsia="zh-CN"/>
              </w:rPr>
            </w:pPr>
            <w:r>
              <w:rPr>
                <w:rFonts w:hint="eastAsia"/>
                <w:color w:val="000000"/>
                <w:vertAlign w:val="baseline"/>
                <w:lang w:val="en-US" w:eastAsia="zh-CN"/>
              </w:rPr>
              <w:t>3.老龄科研基地，2024年，湖南省首批老龄科研基地，湖南省老龄工作委员会办公室，方向负责人，在研。</w:t>
            </w:r>
          </w:p>
        </w:tc>
        <w:tc>
          <w:tcPr>
            <w:tcW w:w="1511" w:type="dxa"/>
            <w:vAlign w:val="center"/>
          </w:tcPr>
          <w:p w14:paraId="5DC16552">
            <w:pPr>
              <w:jc w:val="center"/>
              <w:rPr>
                <w:rFonts w:hint="default"/>
                <w:color w:val="000000"/>
                <w:vertAlign w:val="baseline"/>
                <w:lang w:val="en-US" w:eastAsia="zh-CN"/>
              </w:rPr>
            </w:pPr>
            <w:r>
              <w:rPr>
                <w:rFonts w:hint="eastAsia"/>
                <w:color w:val="000000"/>
                <w:vertAlign w:val="baseline"/>
                <w:lang w:val="en-US" w:eastAsia="zh-CN"/>
              </w:rPr>
              <w:t>补充材料</w:t>
            </w:r>
          </w:p>
        </w:tc>
        <w:tc>
          <w:tcPr>
            <w:tcW w:w="1318" w:type="dxa"/>
            <w:vAlign w:val="center"/>
          </w:tcPr>
          <w:p w14:paraId="27160A34">
            <w:pPr>
              <w:jc w:val="center"/>
              <w:rPr>
                <w:rFonts w:hint="default" w:cstheme="minorBidi"/>
                <w:color w:val="000000"/>
                <w:kern w:val="2"/>
                <w:sz w:val="21"/>
                <w:szCs w:val="24"/>
                <w:vertAlign w:val="baseline"/>
                <w:lang w:val="en-US" w:eastAsia="zh-CN" w:bidi="ar-SA"/>
              </w:rPr>
            </w:pPr>
            <w:r>
              <w:rPr>
                <w:rFonts w:hint="eastAsia" w:cstheme="minorBidi"/>
                <w:color w:val="000000"/>
                <w:kern w:val="2"/>
                <w:sz w:val="21"/>
                <w:szCs w:val="24"/>
                <w:vertAlign w:val="baseline"/>
                <w:lang w:val="en-US" w:eastAsia="zh-CN" w:bidi="ar-SA"/>
              </w:rPr>
              <w:t>3</w:t>
            </w:r>
          </w:p>
        </w:tc>
        <w:tc>
          <w:tcPr>
            <w:tcW w:w="1510" w:type="dxa"/>
            <w:vAlign w:val="center"/>
          </w:tcPr>
          <w:p w14:paraId="01452C92">
            <w:pPr>
              <w:jc w:val="center"/>
              <w:rPr>
                <w:rFonts w:hint="default"/>
                <w:b/>
                <w:bCs/>
                <w:vertAlign w:val="baseline"/>
                <w:lang w:val="en-US" w:eastAsia="zh-CN"/>
              </w:rPr>
            </w:pPr>
            <w:r>
              <w:rPr>
                <w:rFonts w:hint="eastAsia"/>
                <w:b/>
                <w:bCs/>
                <w:vertAlign w:val="baseline"/>
                <w:lang w:val="en-US" w:eastAsia="zh-CN"/>
              </w:rPr>
              <w:t>3</w:t>
            </w: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社会服务（教学型</w:t>
            </w:r>
            <w:r>
              <w:rPr>
                <w:rFonts w:hint="eastAsia"/>
                <w:b/>
                <w:bCs/>
                <w:vertAlign w:val="baseline"/>
                <w:lang w:val="en-US" w:eastAsia="zh-CN"/>
              </w:rPr>
              <w:t>10分，</w:t>
            </w:r>
            <w:r>
              <w:rPr>
                <w:rFonts w:hint="eastAsia"/>
                <w:b/>
                <w:bCs/>
                <w:vertAlign w:val="baseline"/>
                <w:lang w:eastAsia="zh-CN"/>
              </w:rPr>
              <w:t>教学科研型</w:t>
            </w:r>
            <w:r>
              <w:rPr>
                <w:rFonts w:hint="eastAsia"/>
                <w:b/>
                <w:bCs/>
                <w:vertAlign w:val="baseline"/>
                <w:lang w:val="en-US" w:eastAsia="zh-CN"/>
              </w:rPr>
              <w:t>10分，</w:t>
            </w:r>
            <w:r>
              <w:rPr>
                <w:rFonts w:hint="eastAsia"/>
                <w:b/>
                <w:bCs/>
                <w:vertAlign w:val="baseline"/>
                <w:lang w:eastAsia="zh-CN"/>
              </w:rPr>
              <w:t>双师双能型</w:t>
            </w:r>
            <w:r>
              <w:rPr>
                <w:rFonts w:hint="eastAsia"/>
                <w:b/>
                <w:bCs/>
                <w:vertAlign w:val="baseline"/>
                <w:lang w:val="en-US" w:eastAsia="zh-CN"/>
              </w:rPr>
              <w:t>40分）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9097" w:type="dxa"/>
            <w:vAlign w:val="center"/>
          </w:tcPr>
          <w:p w14:paraId="56DEE9E6">
            <w:pPr>
              <w:jc w:val="left"/>
              <w:rPr>
                <w:rFonts w:hint="default"/>
                <w:b/>
                <w:bCs/>
                <w:vertAlign w:val="baseline"/>
                <w:lang w:val="en-US" w:eastAsia="zh-CN"/>
              </w:rPr>
            </w:pPr>
            <w:r>
              <w:rPr>
                <w:rFonts w:hint="eastAsia"/>
                <w:b/>
                <w:bCs/>
                <w:vertAlign w:val="baseline"/>
                <w:lang w:val="en-US" w:eastAsia="zh-CN"/>
              </w:rPr>
              <w:t>格式：序号+取得证书的年份及名称+符合哪一项</w:t>
            </w:r>
          </w:p>
        </w:tc>
        <w:tc>
          <w:tcPr>
            <w:tcW w:w="1511" w:type="dxa"/>
            <w:vAlign w:val="center"/>
          </w:tcPr>
          <w:p w14:paraId="217C0C00">
            <w:pPr>
              <w:jc w:val="left"/>
              <w:rPr>
                <w:rFonts w:hint="eastAsia"/>
                <w:b/>
                <w:bCs/>
                <w:vertAlign w:val="baseline"/>
                <w:lang w:val="en-US" w:eastAsia="zh-CN"/>
              </w:rPr>
            </w:pPr>
          </w:p>
        </w:tc>
        <w:tc>
          <w:tcPr>
            <w:tcW w:w="1318" w:type="dxa"/>
            <w:vAlign w:val="center"/>
          </w:tcPr>
          <w:p w14:paraId="16676071">
            <w:pPr>
              <w:jc w:val="left"/>
              <w:rPr>
                <w:rFonts w:hint="eastAsia"/>
                <w:b/>
                <w:bCs/>
                <w:vertAlign w:val="baseline"/>
                <w:lang w:val="en-US" w:eastAsia="zh-CN"/>
              </w:rPr>
            </w:pPr>
          </w:p>
        </w:tc>
        <w:tc>
          <w:tcPr>
            <w:tcW w:w="1510" w:type="dxa"/>
            <w:vAlign w:val="center"/>
          </w:tcPr>
          <w:p w14:paraId="3EAF8A82">
            <w:pPr>
              <w:jc w:val="left"/>
              <w:rPr>
                <w:rFonts w:hint="eastAsia"/>
                <w:b/>
                <w:bCs/>
                <w:vertAlign w:val="baseline"/>
                <w:lang w:val="en-US" w:eastAsia="zh-CN"/>
              </w:rPr>
            </w:pPr>
          </w:p>
        </w:tc>
      </w:tr>
      <w:tr w14:paraId="37E4C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A4A35E">
            <w:pPr>
              <w:jc w:val="left"/>
              <w:rPr>
                <w:rFonts w:hint="eastAsia"/>
                <w:b/>
                <w:bCs/>
                <w:vertAlign w:val="baseline"/>
                <w:lang w:val="en-US" w:eastAsia="zh-CN"/>
              </w:rPr>
            </w:pPr>
          </w:p>
        </w:tc>
        <w:tc>
          <w:tcPr>
            <w:tcW w:w="9097" w:type="dxa"/>
            <w:vAlign w:val="center"/>
          </w:tcPr>
          <w:p w14:paraId="0204DBF9">
            <w:pPr>
              <w:jc w:val="left"/>
              <w:rPr>
                <w:rFonts w:hint="default"/>
                <w:b/>
                <w:bCs/>
                <w:vertAlign w:val="baseline"/>
                <w:lang w:val="en-US" w:eastAsia="zh-CN"/>
              </w:rPr>
            </w:pPr>
            <w:r>
              <w:rPr>
                <w:rFonts w:hint="eastAsia"/>
                <w:color w:val="000000"/>
                <w:vertAlign w:val="baseline"/>
                <w:lang w:val="en-US" w:eastAsia="zh-CN"/>
              </w:rPr>
              <w:t>1.2022年获得家庭教育指导师资格证，中国教育科学研究院培训中心，符合第1条</w:t>
            </w:r>
          </w:p>
        </w:tc>
        <w:tc>
          <w:tcPr>
            <w:tcW w:w="1511" w:type="dxa"/>
            <w:vAlign w:val="center"/>
          </w:tcPr>
          <w:p w14:paraId="465F1DA5">
            <w:pPr>
              <w:jc w:val="center"/>
              <w:rPr>
                <w:rFonts w:hint="eastAsia"/>
                <w:b/>
                <w:bCs/>
                <w:vertAlign w:val="baseline"/>
                <w:lang w:val="en-US" w:eastAsia="zh-CN"/>
              </w:rPr>
            </w:pPr>
            <w:r>
              <w:rPr>
                <w:rFonts w:hint="eastAsia"/>
                <w:color w:val="000000"/>
                <w:vertAlign w:val="baseline"/>
                <w:lang w:val="en-US" w:eastAsia="zh-CN"/>
              </w:rPr>
              <w:t>458</w:t>
            </w:r>
          </w:p>
        </w:tc>
        <w:tc>
          <w:tcPr>
            <w:tcW w:w="1318" w:type="dxa"/>
            <w:vAlign w:val="center"/>
          </w:tcPr>
          <w:p w14:paraId="2E0B195A">
            <w:pPr>
              <w:jc w:val="center"/>
              <w:rPr>
                <w:rFonts w:hint="eastAsia"/>
                <w:b/>
                <w:bCs/>
                <w:vertAlign w:val="baseline"/>
                <w:lang w:val="en-US" w:eastAsia="zh-CN"/>
              </w:rPr>
            </w:pPr>
            <w:r>
              <w:rPr>
                <w:rFonts w:hint="eastAsia"/>
                <w:color w:val="000000"/>
                <w:vertAlign w:val="baseline"/>
                <w:lang w:val="en-US" w:eastAsia="zh-CN"/>
              </w:rPr>
              <w:t>4</w:t>
            </w:r>
          </w:p>
        </w:tc>
        <w:tc>
          <w:tcPr>
            <w:tcW w:w="1510" w:type="dxa"/>
            <w:vAlign w:val="center"/>
          </w:tcPr>
          <w:p w14:paraId="6A5335B0">
            <w:pPr>
              <w:jc w:val="center"/>
              <w:rPr>
                <w:rFonts w:hint="default"/>
                <w:b/>
                <w:bCs/>
                <w:vertAlign w:val="baseline"/>
                <w:lang w:val="en-US" w:eastAsia="zh-CN"/>
              </w:rPr>
            </w:pPr>
            <w:r>
              <w:rPr>
                <w:rFonts w:hint="eastAsia"/>
                <w:b/>
                <w:bCs/>
                <w:vertAlign w:val="baseline"/>
                <w:lang w:val="en-US" w:eastAsia="zh-CN"/>
              </w:rPr>
              <w:t>4</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0B5B1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50A19F">
            <w:pPr>
              <w:jc w:val="left"/>
              <w:rPr>
                <w:rFonts w:hint="eastAsia"/>
                <w:b/>
                <w:bCs/>
                <w:vertAlign w:val="baseline"/>
                <w:lang w:val="en-US" w:eastAsia="zh-CN"/>
              </w:rPr>
            </w:pPr>
            <w:bookmarkStart w:id="0" w:name="_GoBack" w:colFirst="4" w:colLast="4"/>
          </w:p>
        </w:tc>
        <w:tc>
          <w:tcPr>
            <w:tcW w:w="9097" w:type="dxa"/>
            <w:vAlign w:val="center"/>
          </w:tcPr>
          <w:p w14:paraId="5D05555D">
            <w:pPr>
              <w:numPr>
                <w:ilvl w:val="0"/>
                <w:numId w:val="0"/>
              </w:numPr>
              <w:ind w:left="0" w:leftChars="0" w:firstLine="0" w:firstLineChars="0"/>
              <w:jc w:val="both"/>
              <w:rPr>
                <w:rFonts w:hint="eastAsia"/>
                <w:b w:val="0"/>
                <w:bCs w:val="0"/>
                <w:color w:val="FF0000"/>
                <w:vertAlign w:val="baseline"/>
                <w:lang w:val="en-US" w:eastAsia="zh-CN"/>
              </w:rPr>
            </w:pPr>
            <w:r>
              <w:rPr>
                <w:rFonts w:hint="eastAsia" w:eastAsia="宋体"/>
                <w:kern w:val="0"/>
                <w:szCs w:val="21"/>
                <w:lang w:val="en-US" w:eastAsia="zh-CN"/>
              </w:rPr>
              <w:t>1.“互联网+老干部教育”学习服务平台功能研究与实践，2019湖南省委老干部局委托横向课题，主持，已完成，经费69.5万元；</w:t>
            </w:r>
          </w:p>
        </w:tc>
        <w:tc>
          <w:tcPr>
            <w:tcW w:w="1511" w:type="dxa"/>
            <w:vAlign w:val="center"/>
          </w:tcPr>
          <w:p w14:paraId="58FCDDC2">
            <w:pPr>
              <w:jc w:val="center"/>
              <w:rPr>
                <w:rFonts w:hint="eastAsia"/>
                <w:b/>
                <w:bCs/>
                <w:vertAlign w:val="baseline"/>
                <w:lang w:val="en-US" w:eastAsia="zh-CN"/>
              </w:rPr>
            </w:pPr>
            <w:r>
              <w:rPr>
                <w:rFonts w:hint="eastAsia"/>
                <w:color w:val="000000"/>
                <w:vertAlign w:val="baseline"/>
                <w:lang w:val="en-US" w:eastAsia="zh-CN"/>
              </w:rPr>
              <w:t>254-269</w:t>
            </w:r>
          </w:p>
        </w:tc>
        <w:tc>
          <w:tcPr>
            <w:tcW w:w="1318" w:type="dxa"/>
            <w:vAlign w:val="center"/>
          </w:tcPr>
          <w:p w14:paraId="6DB49CC6">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5</w:t>
            </w:r>
          </w:p>
        </w:tc>
        <w:tc>
          <w:tcPr>
            <w:tcW w:w="1510" w:type="dxa"/>
            <w:vAlign w:val="center"/>
          </w:tcPr>
          <w:p w14:paraId="7E7109BD">
            <w:pPr>
              <w:jc w:val="center"/>
              <w:rPr>
                <w:rFonts w:hint="default"/>
                <w:b/>
                <w:bCs/>
                <w:vertAlign w:val="baseline"/>
                <w:lang w:val="en-US" w:eastAsia="zh-CN"/>
              </w:rPr>
            </w:pPr>
            <w:r>
              <w:rPr>
                <w:rFonts w:hint="eastAsia"/>
                <w:b/>
                <w:bCs/>
                <w:vertAlign w:val="baseline"/>
                <w:lang w:val="en-US" w:eastAsia="zh-CN"/>
              </w:rPr>
              <w:t>0</w:t>
            </w:r>
          </w:p>
        </w:tc>
      </w:tr>
      <w:tr w14:paraId="2A674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EE6439E">
            <w:pPr>
              <w:jc w:val="left"/>
              <w:rPr>
                <w:rFonts w:hint="eastAsia"/>
                <w:b/>
                <w:bCs/>
                <w:vertAlign w:val="baseline"/>
                <w:lang w:val="en-US" w:eastAsia="zh-CN"/>
              </w:rPr>
            </w:pPr>
          </w:p>
        </w:tc>
        <w:tc>
          <w:tcPr>
            <w:tcW w:w="9097" w:type="dxa"/>
            <w:vAlign w:val="center"/>
          </w:tcPr>
          <w:p w14:paraId="6B179A83">
            <w:pPr>
              <w:numPr>
                <w:ilvl w:val="0"/>
                <w:numId w:val="0"/>
              </w:numPr>
              <w:ind w:left="0" w:leftChars="0" w:firstLine="0" w:firstLineChars="0"/>
              <w:jc w:val="both"/>
              <w:rPr>
                <w:rFonts w:hint="eastAsia"/>
                <w:b w:val="0"/>
                <w:bCs w:val="0"/>
                <w:color w:val="FF0000"/>
                <w:vertAlign w:val="baseline"/>
                <w:lang w:val="en-US" w:eastAsia="zh-CN"/>
              </w:rPr>
            </w:pPr>
            <w:r>
              <w:rPr>
                <w:rFonts w:hint="eastAsia" w:eastAsia="宋体"/>
                <w:kern w:val="0"/>
                <w:szCs w:val="21"/>
                <w:lang w:val="en-US" w:eastAsia="zh-CN"/>
              </w:rPr>
              <w:t>2.新疆离退休干部服务管理平台功能研究与实践，2019年新疆维吾尔自治区委老干部局委托横向课题，主持，已完成，经费55.6万元；</w:t>
            </w:r>
          </w:p>
        </w:tc>
        <w:tc>
          <w:tcPr>
            <w:tcW w:w="1511" w:type="dxa"/>
            <w:vAlign w:val="center"/>
          </w:tcPr>
          <w:p w14:paraId="38893342">
            <w:pPr>
              <w:jc w:val="center"/>
              <w:rPr>
                <w:rFonts w:hint="eastAsia"/>
                <w:b/>
                <w:bCs/>
                <w:vertAlign w:val="baseline"/>
                <w:lang w:val="en-US" w:eastAsia="zh-CN"/>
              </w:rPr>
            </w:pPr>
            <w:r>
              <w:rPr>
                <w:rFonts w:hint="eastAsia"/>
                <w:color w:val="000000"/>
                <w:vertAlign w:val="baseline"/>
                <w:lang w:val="en-US" w:eastAsia="zh-CN"/>
              </w:rPr>
              <w:t>270-280</w:t>
            </w:r>
          </w:p>
        </w:tc>
        <w:tc>
          <w:tcPr>
            <w:tcW w:w="1318" w:type="dxa"/>
            <w:vAlign w:val="center"/>
          </w:tcPr>
          <w:p w14:paraId="44266DE8">
            <w:pPr>
              <w:jc w:val="center"/>
              <w:rPr>
                <w:rFonts w:hint="eastAsia"/>
                <w:b/>
                <w:bCs/>
                <w:vertAlign w:val="baseline"/>
                <w:lang w:val="en-US" w:eastAsia="zh-CN"/>
              </w:rPr>
            </w:pPr>
            <w:r>
              <w:rPr>
                <w:rFonts w:hint="eastAsia" w:cstheme="minorBidi"/>
                <w:color w:val="000000"/>
                <w:kern w:val="2"/>
                <w:sz w:val="21"/>
                <w:szCs w:val="24"/>
                <w:vertAlign w:val="baseline"/>
                <w:lang w:val="en-US" w:eastAsia="zh-CN" w:bidi="ar-SA"/>
              </w:rPr>
              <w:t>5</w:t>
            </w:r>
          </w:p>
        </w:tc>
        <w:tc>
          <w:tcPr>
            <w:tcW w:w="1510" w:type="dxa"/>
            <w:vAlign w:val="center"/>
          </w:tcPr>
          <w:p w14:paraId="12F80A77">
            <w:pPr>
              <w:jc w:val="center"/>
              <w:rPr>
                <w:rFonts w:hint="default"/>
                <w:b/>
                <w:bCs/>
                <w:vertAlign w:val="baseline"/>
                <w:lang w:val="en-US" w:eastAsia="zh-CN"/>
              </w:rPr>
            </w:pPr>
            <w:r>
              <w:rPr>
                <w:rFonts w:hint="eastAsia"/>
                <w:b/>
                <w:bCs/>
                <w:vertAlign w:val="baseline"/>
                <w:lang w:val="en-US" w:eastAsia="zh-CN"/>
              </w:rPr>
              <w:t>0</w:t>
            </w:r>
          </w:p>
        </w:tc>
      </w:tr>
      <w:bookmarkEnd w:id="0"/>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代表作审读与代表性成果评价（10+10分）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代表作审读</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9097" w:type="dxa"/>
            <w:vAlign w:val="center"/>
          </w:tcPr>
          <w:p w14:paraId="5FAF4AF7">
            <w:pPr>
              <w:jc w:val="left"/>
              <w:rPr>
                <w:rFonts w:hint="default"/>
                <w:b/>
                <w:bCs/>
                <w:vertAlign w:val="baseline"/>
                <w:lang w:val="en-US" w:eastAsia="zh-CN"/>
              </w:rPr>
            </w:pPr>
            <w:r>
              <w:rPr>
                <w:rFonts w:hint="eastAsia" w:ascii="宋体" w:hAnsi="宋体"/>
                <w:sz w:val="21"/>
                <w:szCs w:val="21"/>
                <w:lang w:val="en-US" w:eastAsia="zh-CN"/>
              </w:rPr>
              <w:t>专著，思想政治教育方法规律研究</w:t>
            </w:r>
          </w:p>
        </w:tc>
        <w:tc>
          <w:tcPr>
            <w:tcW w:w="1511" w:type="dxa"/>
            <w:vAlign w:val="center"/>
          </w:tcPr>
          <w:p w14:paraId="0A5C660E">
            <w:pPr>
              <w:jc w:val="left"/>
              <w:rPr>
                <w:rFonts w:hint="eastAsia"/>
                <w:b/>
                <w:bCs/>
                <w:vertAlign w:val="baseline"/>
                <w:lang w:val="en-US" w:eastAsia="zh-CN"/>
              </w:rPr>
            </w:pPr>
          </w:p>
        </w:tc>
        <w:tc>
          <w:tcPr>
            <w:tcW w:w="1318" w:type="dxa"/>
            <w:vAlign w:val="center"/>
          </w:tcPr>
          <w:p w14:paraId="5B23E2CD">
            <w:pPr>
              <w:jc w:val="left"/>
              <w:rPr>
                <w:rFonts w:hint="default"/>
                <w:b/>
                <w:bCs/>
                <w:vertAlign w:val="baseline"/>
                <w:lang w:val="en-US" w:eastAsia="zh-CN"/>
              </w:rPr>
            </w:pPr>
            <w:r>
              <w:rPr>
                <w:rFonts w:hint="eastAsia"/>
                <w:b/>
                <w:bCs/>
                <w:vertAlign w:val="baseline"/>
                <w:lang w:val="en-US" w:eastAsia="zh-CN"/>
              </w:rPr>
              <w:t>10</w:t>
            </w:r>
          </w:p>
        </w:tc>
        <w:tc>
          <w:tcPr>
            <w:tcW w:w="1510" w:type="dxa"/>
            <w:vAlign w:val="center"/>
          </w:tcPr>
          <w:p w14:paraId="7ACD4A35">
            <w:pPr>
              <w:jc w:val="left"/>
              <w:rPr>
                <w:rFonts w:hint="eastAsia"/>
                <w:b/>
                <w:bCs/>
                <w:vertAlign w:val="baseline"/>
                <w:lang w:val="en-US" w:eastAsia="zh-CN"/>
              </w:rPr>
            </w:pPr>
          </w:p>
        </w:tc>
      </w:tr>
      <w:tr w14:paraId="1179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E48BA2">
            <w:pPr>
              <w:jc w:val="left"/>
              <w:rPr>
                <w:rFonts w:hint="default"/>
                <w:b/>
                <w:bCs/>
                <w:vertAlign w:val="baseline"/>
                <w:lang w:val="en-US" w:eastAsia="zh-CN"/>
              </w:rPr>
            </w:pPr>
            <w:r>
              <w:rPr>
                <w:rFonts w:hint="eastAsia"/>
                <w:b/>
                <w:bCs/>
                <w:vertAlign w:val="baseline"/>
                <w:lang w:val="en-US" w:eastAsia="zh-CN"/>
              </w:rPr>
              <w:t>9-2</w:t>
            </w:r>
          </w:p>
        </w:tc>
        <w:tc>
          <w:tcPr>
            <w:tcW w:w="13436" w:type="dxa"/>
            <w:gridSpan w:val="4"/>
            <w:vAlign w:val="center"/>
          </w:tcPr>
          <w:p w14:paraId="6F24CA34">
            <w:pPr>
              <w:jc w:val="left"/>
              <w:rPr>
                <w:rFonts w:hint="eastAsia"/>
                <w:b/>
                <w:bCs/>
                <w:vertAlign w:val="baseline"/>
                <w:lang w:val="en-US" w:eastAsia="zh-CN"/>
              </w:rPr>
            </w:pPr>
            <w:r>
              <w:rPr>
                <w:rFonts w:hint="eastAsia"/>
                <w:b/>
                <w:bCs/>
                <w:vertAlign w:val="baseline"/>
                <w:lang w:val="en-US" w:eastAsia="zh-CN"/>
              </w:rPr>
              <w:t>代表性成果评价</w:t>
            </w:r>
          </w:p>
        </w:tc>
      </w:tr>
      <w:tr w14:paraId="7C490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3BCA69">
            <w:pPr>
              <w:jc w:val="left"/>
              <w:rPr>
                <w:rFonts w:hint="eastAsia"/>
                <w:b/>
                <w:bCs/>
                <w:vertAlign w:val="baseline"/>
                <w:lang w:val="en-US" w:eastAsia="zh-CN"/>
              </w:rPr>
            </w:pPr>
          </w:p>
        </w:tc>
        <w:tc>
          <w:tcPr>
            <w:tcW w:w="9097" w:type="dxa"/>
            <w:vAlign w:val="center"/>
          </w:tcPr>
          <w:p w14:paraId="68E4B787">
            <w:pPr>
              <w:jc w:val="left"/>
              <w:rPr>
                <w:rFonts w:hint="default"/>
                <w:b w:val="0"/>
                <w:bCs w:val="0"/>
                <w:vertAlign w:val="baseline"/>
                <w:lang w:val="en-US" w:eastAsia="zh-CN"/>
              </w:rPr>
            </w:pPr>
            <w:r>
              <w:rPr>
                <w:rFonts w:hint="eastAsia"/>
                <w:b w:val="0"/>
                <w:bCs w:val="0"/>
                <w:vertAlign w:val="baseline"/>
                <w:lang w:val="en-US" w:eastAsia="zh-CN"/>
              </w:rPr>
              <w:t>《思想政治教育方法规律研究》，是我本人博士论文，其中二、三、四章节内容，分别发表了3篇C刊，专著最后几页得到了国内学者高度评价。</w:t>
            </w:r>
          </w:p>
        </w:tc>
        <w:tc>
          <w:tcPr>
            <w:tcW w:w="1511" w:type="dxa"/>
            <w:vAlign w:val="center"/>
          </w:tcPr>
          <w:p w14:paraId="343CD25A">
            <w:pPr>
              <w:jc w:val="left"/>
              <w:rPr>
                <w:rFonts w:hint="eastAsia"/>
                <w:b w:val="0"/>
                <w:bCs w:val="0"/>
                <w:vertAlign w:val="baseline"/>
                <w:lang w:val="en-US" w:eastAsia="zh-CN"/>
              </w:rPr>
            </w:pPr>
          </w:p>
        </w:tc>
        <w:tc>
          <w:tcPr>
            <w:tcW w:w="1318" w:type="dxa"/>
            <w:vAlign w:val="center"/>
          </w:tcPr>
          <w:p w14:paraId="6AEC0FB7">
            <w:pPr>
              <w:jc w:val="left"/>
              <w:rPr>
                <w:rFonts w:hint="default"/>
                <w:b w:val="0"/>
                <w:bCs w:val="0"/>
                <w:vertAlign w:val="baseline"/>
                <w:lang w:val="en-US" w:eastAsia="zh-CN"/>
              </w:rPr>
            </w:pPr>
            <w:r>
              <w:rPr>
                <w:rFonts w:hint="eastAsia"/>
                <w:b w:val="0"/>
                <w:bCs w:val="0"/>
                <w:vertAlign w:val="baseline"/>
                <w:lang w:val="en-US" w:eastAsia="zh-CN"/>
              </w:rPr>
              <w:t>10</w:t>
            </w:r>
          </w:p>
        </w:tc>
        <w:tc>
          <w:tcPr>
            <w:tcW w:w="1510" w:type="dxa"/>
            <w:vAlign w:val="center"/>
          </w:tcPr>
          <w:p w14:paraId="0A151B3E">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9097" w:type="dxa"/>
            <w:shd w:val="clear" w:color="auto" w:fill="DEEBF6" w:themeFill="accent1" w:themeFillTint="32"/>
            <w:vAlign w:val="center"/>
          </w:tcPr>
          <w:p w14:paraId="3E606AA2">
            <w:pPr>
              <w:jc w:val="center"/>
              <w:rPr>
                <w:rFonts w:hint="default"/>
                <w:b/>
                <w:bCs/>
                <w:vertAlign w:val="baseline"/>
                <w:lang w:val="en-US" w:eastAsia="zh-CN"/>
              </w:rPr>
            </w:pPr>
            <w:r>
              <w:rPr>
                <w:rFonts w:hint="eastAsia"/>
                <w:b/>
                <w:bCs/>
                <w:vertAlign w:val="baseline"/>
                <w:lang w:eastAsia="zh-CN"/>
              </w:rPr>
              <w:t>其他</w:t>
            </w:r>
            <w:r>
              <w:rPr>
                <w:rFonts w:hint="eastAsia"/>
                <w:b/>
                <w:bCs/>
                <w:vertAlign w:val="baseline"/>
                <w:lang w:val="en-US" w:eastAsia="zh-CN"/>
              </w:rPr>
              <w:t>的成果业绩</w:t>
            </w:r>
          </w:p>
        </w:tc>
        <w:tc>
          <w:tcPr>
            <w:tcW w:w="1511" w:type="dxa"/>
            <w:shd w:val="clear" w:color="auto" w:fill="DEEBF6" w:themeFill="accent1" w:themeFillTint="32"/>
            <w:vAlign w:val="center"/>
          </w:tcPr>
          <w:p w14:paraId="305B6C69">
            <w:pPr>
              <w:jc w:val="center"/>
              <w:rPr>
                <w:rFonts w:hint="eastAsia"/>
                <w:b/>
                <w:bCs/>
                <w:vertAlign w:val="baseline"/>
                <w:lang w:eastAsia="zh-CN"/>
              </w:rPr>
            </w:pPr>
            <w:r>
              <w:rPr>
                <w:rFonts w:hint="eastAsia"/>
                <w:b/>
                <w:bCs/>
                <w:vertAlign w:val="baseline"/>
                <w:lang w:val="en-US" w:eastAsia="zh-CN"/>
              </w:rPr>
              <w:t>——</w:t>
            </w:r>
          </w:p>
        </w:tc>
        <w:tc>
          <w:tcPr>
            <w:tcW w:w="1318" w:type="dxa"/>
            <w:shd w:val="clear" w:color="auto" w:fill="DEEBF6" w:themeFill="accent1" w:themeFillTint="32"/>
            <w:vAlign w:val="center"/>
          </w:tcPr>
          <w:p w14:paraId="155C0ACA">
            <w:pPr>
              <w:jc w:val="center"/>
              <w:rPr>
                <w:rFonts w:hint="eastAsia"/>
                <w:b/>
                <w:bCs/>
                <w:vertAlign w:val="baseline"/>
                <w:lang w:val="en-US" w:eastAsia="zh-CN"/>
              </w:rPr>
            </w:pPr>
            <w:r>
              <w:rPr>
                <w:rFonts w:hint="eastAsia"/>
                <w:b/>
                <w:bCs/>
                <w:vertAlign w:val="baseline"/>
                <w:lang w:val="en-US" w:eastAsia="zh-CN"/>
              </w:rPr>
              <w:t>——</w:t>
            </w:r>
          </w:p>
        </w:tc>
        <w:tc>
          <w:tcPr>
            <w:tcW w:w="1510" w:type="dxa"/>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val="en-US" w:eastAsia="zh-CN"/>
              </w:rPr>
              <w:t>——</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9097" w:type="dxa"/>
            <w:vAlign w:val="center"/>
          </w:tcPr>
          <w:p w14:paraId="4ED99FF7">
            <w:pPr>
              <w:keepNext w:val="0"/>
              <w:keepLines w:val="0"/>
              <w:widowControl/>
              <w:suppressLineNumbers w:val="0"/>
              <w:jc w:val="left"/>
              <w:rPr>
                <w:rFonts w:hint="default"/>
                <w:lang w:val="en-US"/>
              </w:rPr>
            </w:pPr>
            <w:r>
              <w:rPr>
                <w:rFonts w:hint="eastAsia"/>
                <w:color w:val="000000"/>
                <w:vertAlign w:val="baseline"/>
                <w:lang w:val="en-US" w:eastAsia="zh-CN"/>
              </w:rPr>
              <w:t>1.</w:t>
            </w:r>
            <w:r>
              <w:rPr>
                <w:rFonts w:hint="eastAsia" w:ascii="宋体" w:hAnsi="宋体"/>
                <w:b/>
                <w:bCs/>
                <w:sz w:val="21"/>
                <w:szCs w:val="21"/>
                <w:lang w:val="en-US" w:eastAsia="zh-CN"/>
              </w:rPr>
              <w:t>外观专利设计——《助行器》，</w:t>
            </w:r>
            <w:r>
              <w:rPr>
                <w:rFonts w:hint="eastAsia" w:ascii="宋体" w:hAnsi="宋体" w:eastAsia="宋体" w:cs="宋体"/>
                <w:color w:val="000000"/>
                <w:kern w:val="0"/>
                <w:sz w:val="23"/>
                <w:szCs w:val="23"/>
                <w:lang w:val="en-US" w:eastAsia="zh-CN" w:bidi="ar"/>
              </w:rPr>
              <w:t>证书号 第8656150号，获国家专利授权</w:t>
            </w:r>
          </w:p>
          <w:p w14:paraId="21B25DE9">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both"/>
              <w:textAlignment w:val="auto"/>
              <w:rPr>
                <w:rFonts w:hint="default"/>
                <w:lang w:val="en-US" w:eastAsia="zh-CN"/>
              </w:rPr>
            </w:pPr>
          </w:p>
        </w:tc>
        <w:tc>
          <w:tcPr>
            <w:tcW w:w="1511" w:type="dxa"/>
            <w:vAlign w:val="center"/>
          </w:tcPr>
          <w:p w14:paraId="38639521">
            <w:pPr>
              <w:jc w:val="center"/>
              <w:rPr>
                <w:vertAlign w:val="baseline"/>
              </w:rPr>
            </w:pPr>
            <w:r>
              <w:rPr>
                <w:rFonts w:hint="eastAsia"/>
                <w:color w:val="000000"/>
                <w:vertAlign w:val="baseline"/>
                <w:lang w:val="en-US" w:eastAsia="zh-CN"/>
              </w:rPr>
              <w:t>469-470</w:t>
            </w:r>
          </w:p>
        </w:tc>
        <w:tc>
          <w:tcPr>
            <w:tcW w:w="1318" w:type="dxa"/>
            <w:vAlign w:val="center"/>
          </w:tcPr>
          <w:p w14:paraId="55855C54">
            <w:pPr>
              <w:jc w:val="center"/>
              <w:rPr>
                <w:rFonts w:ascii="Arial Rounded MT Bold" w:hAnsi="Arial Rounded MT Bold" w:eastAsiaTheme="minorEastAsia" w:cstheme="minorBidi"/>
                <w:kern w:val="2"/>
                <w:sz w:val="21"/>
                <w:szCs w:val="24"/>
                <w:vertAlign w:val="baseline"/>
                <w:lang w:val="en-US" w:eastAsia="zh-CN" w:bidi="ar-SA"/>
              </w:rPr>
            </w:pPr>
          </w:p>
        </w:tc>
        <w:tc>
          <w:tcPr>
            <w:tcW w:w="1510" w:type="dxa"/>
            <w:vAlign w:val="center"/>
          </w:tcPr>
          <w:p w14:paraId="46515D33">
            <w:pPr>
              <w:jc w:val="center"/>
              <w:rPr>
                <w:vertAlign w:val="baseline"/>
              </w:rPr>
            </w:pPr>
          </w:p>
        </w:tc>
      </w:tr>
    </w:tbl>
    <w:p w14:paraId="6440C36B"/>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Rounded MT Bold">
    <w:panose1 w:val="020F0704030504030204"/>
    <w:charset w:val="00"/>
    <w:family w:val="auto"/>
    <w:pitch w:val="default"/>
    <w:sig w:usb0="00000003" w:usb1="00000000" w:usb2="00000000" w:usb3="00000000" w:csb0="20000001" w:csb1="00000000"/>
    <w:embedRegular r:id="rId1" w:fontKey="{88F39B82-82DD-497C-BC0D-61D344187242}"/>
  </w:font>
  <w:font w:name="仿宋_GB2312">
    <w:panose1 w:val="02010609030101010101"/>
    <w:charset w:val="86"/>
    <w:family w:val="modern"/>
    <w:pitch w:val="default"/>
    <w:sig w:usb0="00000001" w:usb1="080E0000" w:usb2="00000000" w:usb3="00000000" w:csb0="00040000" w:csb1="00000000"/>
    <w:embedRegular r:id="rId2" w:fontKey="{62727081-5819-4443-A85E-5CF074CBCD91}"/>
  </w:font>
  <w:font w:name="方正小标宋简体">
    <w:panose1 w:val="03000509000000000000"/>
    <w:charset w:val="86"/>
    <w:family w:val="auto"/>
    <w:pitch w:val="default"/>
    <w:sig w:usb0="00000001" w:usb1="080E0000" w:usb2="00000000" w:usb3="00000000" w:csb0="00040000" w:csb1="00000000"/>
    <w:embedRegular r:id="rId3" w:fontKey="{FCD94398-95A8-42BF-8A44-97E107024E1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湖南高等学校教师系列（含实验技术）专业技术职称申报人员测评赋分表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湖南开放大学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朱新洲</w:t>
    </w:r>
    <w:r>
      <w:rPr>
        <w:rFonts w:hint="eastAsia"/>
        <w:sz w:val="30"/>
        <w:szCs w:val="30"/>
        <w:u w:val="none"/>
        <w:lang w:val="en-US" w:eastAsia="zh-CN"/>
      </w:rPr>
      <w:t xml:space="preserve">  申报职称：</w:t>
    </w:r>
    <w:r>
      <w:rPr>
        <w:rFonts w:hint="eastAsia"/>
        <w:sz w:val="30"/>
        <w:szCs w:val="30"/>
        <w:u w:val="single"/>
        <w:lang w:val="en-US" w:eastAsia="zh-CN"/>
      </w:rPr>
      <w:t>教授</w:t>
    </w:r>
    <w:r>
      <w:rPr>
        <w:rFonts w:hint="eastAsia"/>
        <w:sz w:val="30"/>
        <w:szCs w:val="30"/>
        <w:u w:val="none"/>
        <w:lang w:val="en-US" w:eastAsia="zh-CN"/>
      </w:rPr>
      <w:t xml:space="preserve">  学科（专业）：</w:t>
    </w:r>
    <w:r>
      <w:rPr>
        <w:rFonts w:hint="eastAsia"/>
        <w:sz w:val="30"/>
        <w:szCs w:val="30"/>
        <w:u w:val="single"/>
        <w:lang w:val="en-US" w:eastAsia="zh-CN"/>
      </w:rPr>
      <w:t>高教管理</w:t>
    </w:r>
    <w:r>
      <w:rPr>
        <w:rFonts w:hint="eastAsia"/>
        <w:sz w:val="30"/>
        <w:szCs w:val="30"/>
        <w:u w:val="none"/>
        <w:lang w:val="en-US" w:eastAsia="zh-CN"/>
      </w:rPr>
      <w:t xml:space="preserve">  申报类别：</w:t>
    </w:r>
    <w:r>
      <w:rPr>
        <w:rFonts w:hint="eastAsia"/>
        <w:sz w:val="30"/>
        <w:szCs w:val="30"/>
        <w:u w:val="single"/>
        <w:lang w:val="en-US" w:eastAsia="zh-CN"/>
      </w:rPr>
      <w:t xml:space="preserve">教学科研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mNjJlZmU0MTEyMGJlYzlkZmNlY2MyNDQ4MjNjZDAifQ=="/>
  </w:docVars>
  <w:rsids>
    <w:rsidRoot w:val="56A9350E"/>
    <w:rsid w:val="02157E29"/>
    <w:rsid w:val="038340E2"/>
    <w:rsid w:val="04401A60"/>
    <w:rsid w:val="05B11400"/>
    <w:rsid w:val="0786286D"/>
    <w:rsid w:val="081450A2"/>
    <w:rsid w:val="08346622"/>
    <w:rsid w:val="0B2E2A96"/>
    <w:rsid w:val="0F3F6D0A"/>
    <w:rsid w:val="110D3F66"/>
    <w:rsid w:val="11752C0E"/>
    <w:rsid w:val="11A315D9"/>
    <w:rsid w:val="12904C61"/>
    <w:rsid w:val="13AE71F7"/>
    <w:rsid w:val="144731A8"/>
    <w:rsid w:val="146D0389"/>
    <w:rsid w:val="15BE749A"/>
    <w:rsid w:val="18300B23"/>
    <w:rsid w:val="18D41D66"/>
    <w:rsid w:val="19F26FDA"/>
    <w:rsid w:val="1A187AC0"/>
    <w:rsid w:val="1A375F62"/>
    <w:rsid w:val="1BA2405D"/>
    <w:rsid w:val="1CAE5116"/>
    <w:rsid w:val="1D250B64"/>
    <w:rsid w:val="1D3C3AC6"/>
    <w:rsid w:val="1E2E2D35"/>
    <w:rsid w:val="1EBB0A1A"/>
    <w:rsid w:val="208A589A"/>
    <w:rsid w:val="225E739B"/>
    <w:rsid w:val="22937BF9"/>
    <w:rsid w:val="230F5B30"/>
    <w:rsid w:val="242C5AA3"/>
    <w:rsid w:val="275B56B2"/>
    <w:rsid w:val="27B23302"/>
    <w:rsid w:val="28D23530"/>
    <w:rsid w:val="29456345"/>
    <w:rsid w:val="2D0F0096"/>
    <w:rsid w:val="2E381263"/>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DF80A94"/>
    <w:rsid w:val="4E444B90"/>
    <w:rsid w:val="4E651408"/>
    <w:rsid w:val="4F1638C7"/>
    <w:rsid w:val="500E459E"/>
    <w:rsid w:val="50CC5E28"/>
    <w:rsid w:val="53043303"/>
    <w:rsid w:val="537624A9"/>
    <w:rsid w:val="53CC6FCA"/>
    <w:rsid w:val="54C43C51"/>
    <w:rsid w:val="54EF499E"/>
    <w:rsid w:val="5542431F"/>
    <w:rsid w:val="55D10548"/>
    <w:rsid w:val="56A9350E"/>
    <w:rsid w:val="59C7587F"/>
    <w:rsid w:val="5B81356B"/>
    <w:rsid w:val="5E5A54F4"/>
    <w:rsid w:val="5F131121"/>
    <w:rsid w:val="5F64678F"/>
    <w:rsid w:val="60C97425"/>
    <w:rsid w:val="611558B3"/>
    <w:rsid w:val="61957557"/>
    <w:rsid w:val="62086499"/>
    <w:rsid w:val="62EC2125"/>
    <w:rsid w:val="644219A9"/>
    <w:rsid w:val="65931376"/>
    <w:rsid w:val="67682087"/>
    <w:rsid w:val="6B113ED5"/>
    <w:rsid w:val="6B2F7D93"/>
    <w:rsid w:val="6C7D05FF"/>
    <w:rsid w:val="6EF015E7"/>
    <w:rsid w:val="73C92B5D"/>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8374</Words>
  <Characters>9738</Characters>
  <Lines>0</Lines>
  <Paragraphs>0</Paragraphs>
  <TotalTime>6</TotalTime>
  <ScaleCrop>false</ScaleCrop>
  <LinksUpToDate>false</LinksUpToDate>
  <CharactersWithSpaces>9748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英子</cp:lastModifiedBy>
  <cp:lastPrinted>2024-11-01T00:34:00Z</cp:lastPrinted>
  <dcterms:modified xsi:type="dcterms:W3CDTF">2024-11-08T09:02:53Z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E7D8719E397642BF86A0FC9A9263BC53_13</vt:lpwstr>
  </property>
</Properties>
</file>