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82546A">
      <w:pPr>
        <w:pStyle w:val="6"/>
        <w:widowControl/>
        <w:spacing w:beforeAutospacing="0" w:afterAutospacing="0" w:line="560" w:lineRule="exact"/>
        <w:rPr>
          <w:rFonts w:ascii="黑体" w:hAnsi="黑体" w:eastAsia="黑体" w:cs="仿宋"/>
          <w:sz w:val="32"/>
          <w:szCs w:val="32"/>
        </w:rPr>
      </w:pPr>
      <w:r>
        <w:rPr>
          <w:rFonts w:hint="eastAsia" w:ascii="黑体" w:hAnsi="黑体" w:eastAsia="黑体" w:cs="仿宋"/>
          <w:sz w:val="32"/>
          <w:szCs w:val="32"/>
        </w:rPr>
        <w:t>附件1</w:t>
      </w:r>
    </w:p>
    <w:p w14:paraId="65904D92">
      <w:pPr>
        <w:pStyle w:val="6"/>
        <w:widowControl/>
        <w:spacing w:beforeAutospacing="0" w:afterAutospacing="0" w:line="560" w:lineRule="exact"/>
        <w:rPr>
          <w:rFonts w:ascii="仿宋_GB2312" w:hAnsi="仿宋" w:eastAsia="仿宋_GB2312" w:cs="仿宋"/>
          <w:sz w:val="32"/>
          <w:szCs w:val="32"/>
        </w:rPr>
      </w:pPr>
    </w:p>
    <w:p w14:paraId="49425629">
      <w:pPr>
        <w:pStyle w:val="6"/>
        <w:widowControl/>
        <w:spacing w:beforeAutospacing="0" w:afterAutospacing="0" w:line="560" w:lineRule="exact"/>
        <w:jc w:val="center"/>
        <w:rPr>
          <w:rFonts w:ascii="方正小标宋简体" w:eastAsia="方正小标宋简体" w:cs="仿宋" w:hAnsiTheme="majorEastAsia"/>
          <w:bCs/>
          <w:sz w:val="44"/>
          <w:szCs w:val="44"/>
        </w:rPr>
      </w:pPr>
      <w:r>
        <w:rPr>
          <w:rFonts w:hint="eastAsia" w:ascii="方正小标宋简体" w:eastAsia="方正小标宋简体" w:cs="仿宋" w:hAnsiTheme="majorEastAsia"/>
          <w:bCs/>
          <w:sz w:val="44"/>
          <w:szCs w:val="44"/>
        </w:rPr>
        <w:t>2024年度长沙市自然科学基金项目申报指南</w:t>
      </w:r>
    </w:p>
    <w:p w14:paraId="6740119C">
      <w:pPr>
        <w:pStyle w:val="6"/>
        <w:widowControl/>
        <w:spacing w:beforeAutospacing="0" w:afterAutospacing="0" w:line="560" w:lineRule="exact"/>
        <w:ind w:firstLine="643" w:firstLineChars="200"/>
        <w:rPr>
          <w:rFonts w:ascii="仿宋_GB2312" w:hAnsi="仿宋" w:eastAsia="仿宋_GB2312" w:cs="仿宋"/>
          <w:b/>
          <w:bCs/>
          <w:sz w:val="32"/>
          <w:szCs w:val="32"/>
        </w:rPr>
      </w:pPr>
    </w:p>
    <w:p w14:paraId="1E51A618">
      <w:pPr>
        <w:pStyle w:val="6"/>
        <w:widowControl/>
        <w:spacing w:beforeAutospacing="0" w:afterAutospacing="0" w:line="560" w:lineRule="exact"/>
        <w:ind w:firstLine="640" w:firstLineChars="200"/>
        <w:rPr>
          <w:rFonts w:ascii="黑体" w:hAnsi="黑体" w:eastAsia="黑体" w:cs="仿宋"/>
          <w:sz w:val="32"/>
          <w:szCs w:val="32"/>
        </w:rPr>
      </w:pPr>
      <w:r>
        <w:rPr>
          <w:rFonts w:hint="eastAsia" w:ascii="黑体" w:hAnsi="黑体" w:eastAsia="黑体" w:cs="仿宋"/>
          <w:sz w:val="32"/>
          <w:szCs w:val="32"/>
        </w:rPr>
        <w:t>一、支持对象：</w:t>
      </w:r>
    </w:p>
    <w:p w14:paraId="6EC271E2">
      <w:pPr>
        <w:pStyle w:val="6"/>
        <w:widowControl/>
        <w:spacing w:beforeAutospacing="0" w:afterAutospacing="0"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长沙市域内高等院校、科研院所（事业编制）、医疗机构的科研人员。</w:t>
      </w:r>
    </w:p>
    <w:p w14:paraId="1932791F">
      <w:pPr>
        <w:pStyle w:val="6"/>
        <w:widowControl/>
        <w:spacing w:beforeAutospacing="0" w:afterAutospacing="0" w:line="560" w:lineRule="exact"/>
        <w:ind w:firstLine="640" w:firstLineChars="200"/>
        <w:rPr>
          <w:rFonts w:ascii="黑体" w:hAnsi="黑体" w:eastAsia="黑体" w:cs="仿宋"/>
          <w:sz w:val="32"/>
          <w:szCs w:val="32"/>
        </w:rPr>
      </w:pPr>
      <w:r>
        <w:rPr>
          <w:rFonts w:hint="eastAsia" w:ascii="黑体" w:hAnsi="黑体" w:eastAsia="黑体" w:cs="仿宋"/>
          <w:sz w:val="32"/>
          <w:szCs w:val="32"/>
        </w:rPr>
        <w:t>二、支持范围：</w:t>
      </w:r>
    </w:p>
    <w:p w14:paraId="71A58F3A">
      <w:pPr>
        <w:pStyle w:val="6"/>
        <w:widowControl/>
        <w:spacing w:beforeAutospacing="0" w:afterAutospacing="0"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市自然科学基金（简称“市自科基金”）资助我市自然科学研究、前沿技术研究、基础应用研究和社会公益性技术研究，优先资助与本市社会经济发展紧密相关的战略性、基础性、前瞻性关键技术研究，优先资助优秀青年人才和原始创新项目。</w:t>
      </w:r>
    </w:p>
    <w:p w14:paraId="1CE523C8">
      <w:pPr>
        <w:pStyle w:val="6"/>
        <w:widowControl/>
        <w:spacing w:beforeAutospacing="0" w:afterAutospacing="0"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1、主要支持方向：</w:t>
      </w:r>
    </w:p>
    <w:p w14:paraId="2E404247">
      <w:pPr>
        <w:pStyle w:val="6"/>
        <w:widowControl/>
        <w:spacing w:beforeAutospacing="0" w:afterAutospacing="0"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重点支持能提升我市科技水平、增强核心知识储备，支撑未来创新发展的自然科学基础理论研究，支持在前沿技术、交叉科学领域开展前瞻性基础研究，聚焦先进计算、脑科学与类脑智能（脑机接口）、深地深海、量子科技等领域。</w:t>
      </w:r>
    </w:p>
    <w:p w14:paraId="27B92069">
      <w:pPr>
        <w:pStyle w:val="6"/>
        <w:widowControl/>
        <w:spacing w:beforeAutospacing="0" w:afterAutospacing="0"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（2）聚焦我市产业发展基础，重点支持新能源材料、极端制造材料、智能育种、蛋白质组学、细胞治疗等领域核心基础理论、关键基础技术研究，注重源头自主创新，以促进产业领域提升整体能力。</w:t>
      </w:r>
    </w:p>
    <w:p w14:paraId="7F7529F6">
      <w:pPr>
        <w:pStyle w:val="6"/>
        <w:spacing w:beforeAutospacing="0" w:afterAutospacing="0"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（3）支持开展医疗卫生科学理论研究，重点支持重大疾病、慢性病、常见病、多发病等疾病的发病机制以及突发/新发预防医学和公共卫生风险预警研究。</w:t>
      </w:r>
    </w:p>
    <w:p w14:paraId="766D69F0">
      <w:pPr>
        <w:pStyle w:val="6"/>
        <w:widowControl/>
        <w:spacing w:beforeAutospacing="0" w:afterAutospacing="0"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2、支持的学科范围见附件3“长沙市自然科学基金学科代码”。</w:t>
      </w:r>
    </w:p>
    <w:p w14:paraId="04002858">
      <w:pPr>
        <w:pStyle w:val="6"/>
        <w:widowControl/>
        <w:spacing w:beforeAutospacing="0" w:afterAutospacing="0" w:line="560" w:lineRule="exact"/>
        <w:ind w:firstLine="640" w:firstLineChars="200"/>
        <w:rPr>
          <w:rFonts w:ascii="黑体" w:hAnsi="黑体" w:eastAsia="黑体" w:cs="仿宋"/>
          <w:sz w:val="32"/>
          <w:szCs w:val="32"/>
        </w:rPr>
      </w:pPr>
      <w:r>
        <w:rPr>
          <w:rFonts w:hint="eastAsia" w:ascii="黑体" w:hAnsi="黑体" w:eastAsia="黑体" w:cs="仿宋"/>
          <w:sz w:val="32"/>
          <w:szCs w:val="32"/>
        </w:rPr>
        <w:t>三、支持项目数量和资助金额标准</w:t>
      </w:r>
    </w:p>
    <w:p w14:paraId="035E35D0">
      <w:pPr>
        <w:pStyle w:val="6"/>
        <w:widowControl/>
        <w:spacing w:beforeAutospacing="0" w:afterAutospacing="0"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2024年市自科基金项目采取前资助的方式，资助金额为5万元/项。市自科基金项目支持经费实行包干制，项目负责人在承诺遵守科研伦理道德和作风学风诚信要求、经费全部用于与本项目研究工作相关支出的基础上，自主决定项目经费使用。</w:t>
      </w:r>
    </w:p>
    <w:p w14:paraId="05C42B46">
      <w:pPr>
        <w:pStyle w:val="6"/>
        <w:widowControl/>
        <w:spacing w:beforeAutospacing="0" w:afterAutospacing="0" w:line="560" w:lineRule="exact"/>
        <w:ind w:firstLine="640" w:firstLineChars="200"/>
        <w:rPr>
          <w:rFonts w:ascii="黑体" w:hAnsi="黑体" w:eastAsia="黑体" w:cs="仿宋"/>
          <w:sz w:val="32"/>
          <w:szCs w:val="32"/>
        </w:rPr>
      </w:pPr>
      <w:r>
        <w:rPr>
          <w:rFonts w:hint="eastAsia" w:ascii="黑体" w:hAnsi="黑体" w:eastAsia="黑体" w:cs="仿宋"/>
          <w:sz w:val="32"/>
          <w:szCs w:val="32"/>
        </w:rPr>
        <w:t>四、申报条件</w:t>
      </w:r>
    </w:p>
    <w:p w14:paraId="22044212">
      <w:pPr>
        <w:pStyle w:val="6"/>
        <w:widowControl/>
        <w:spacing w:beforeAutospacing="0" w:afterAutospacing="0"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我市范围内的高等院校、科研院所（事业编制）、医疗机构的科研人员可以作为项目负责人申报市自科基金项目，每个申请人当年限申请一项本基金项目。项目负责人所在单位为项目依托单位。</w:t>
      </w:r>
    </w:p>
    <w:p w14:paraId="6167CC3B">
      <w:pPr>
        <w:pStyle w:val="6"/>
        <w:widowControl/>
        <w:spacing w:beforeAutospacing="0" w:afterAutospacing="0"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项目负责人应具备下列基本条件：</w:t>
      </w:r>
    </w:p>
    <w:p w14:paraId="10721019">
      <w:pPr>
        <w:pStyle w:val="6"/>
        <w:widowControl/>
        <w:spacing w:beforeAutospacing="0" w:afterAutospacing="0"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（1）具有良好的科学道德和科研信用，有承担科研课题或者其他从事基础研究的经历，必须是项目的实际主持人；</w:t>
      </w:r>
    </w:p>
    <w:p w14:paraId="5301C506">
      <w:pPr>
        <w:pStyle w:val="6"/>
        <w:widowControl/>
        <w:spacing w:beforeAutospacing="0" w:afterAutospacing="0"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（2）具有中级（含）以上技术职称或硕士（含）以上学位；</w:t>
      </w:r>
    </w:p>
    <w:p w14:paraId="61C9C13A">
      <w:pPr>
        <w:pStyle w:val="6"/>
        <w:widowControl/>
        <w:spacing w:beforeAutospacing="0" w:afterAutospacing="0"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（3）没有承担的国家、湖南省自然科学基金项目；没有本基金及其他市级科技计划项目未验收的情况；</w:t>
      </w:r>
    </w:p>
    <w:p w14:paraId="1DCFB301">
      <w:pPr>
        <w:pStyle w:val="6"/>
        <w:widowControl/>
        <w:spacing w:beforeAutospacing="0" w:afterAutospacing="0"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（4）没有科研失信行为记录或其他限制项目申报的情况。</w:t>
      </w:r>
    </w:p>
    <w:p w14:paraId="63E2B5F5">
      <w:pPr>
        <w:pStyle w:val="6"/>
        <w:widowControl/>
        <w:spacing w:beforeAutospacing="0" w:afterAutospacing="0" w:line="560" w:lineRule="exact"/>
        <w:ind w:firstLine="640" w:firstLineChars="200"/>
        <w:rPr>
          <w:rFonts w:ascii="黑体" w:hAnsi="黑体" w:eastAsia="黑体" w:cs="仿宋"/>
          <w:sz w:val="32"/>
          <w:szCs w:val="32"/>
        </w:rPr>
      </w:pPr>
      <w:r>
        <w:rPr>
          <w:rFonts w:hint="eastAsia" w:ascii="黑体" w:hAnsi="黑体" w:eastAsia="黑体" w:cs="仿宋"/>
          <w:sz w:val="32"/>
          <w:szCs w:val="32"/>
        </w:rPr>
        <w:t>五、申报流程</w:t>
      </w:r>
    </w:p>
    <w:p w14:paraId="0697F7E3">
      <w:pPr>
        <w:pStyle w:val="6"/>
        <w:widowControl/>
        <w:spacing w:beforeAutospacing="0" w:afterAutospacing="0" w:line="560" w:lineRule="exact"/>
        <w:ind w:firstLine="643" w:firstLineChars="200"/>
        <w:rPr>
          <w:rFonts w:ascii="楷体_GB2312" w:hAnsi="仿宋" w:eastAsia="楷体_GB2312" w:cs="仿宋"/>
          <w:b/>
          <w:sz w:val="32"/>
          <w:szCs w:val="32"/>
        </w:rPr>
      </w:pPr>
      <w:r>
        <w:rPr>
          <w:rFonts w:hint="eastAsia" w:ascii="楷体_GB2312" w:hAnsi="仿宋" w:eastAsia="楷体_GB2312" w:cs="仿宋"/>
          <w:b/>
          <w:bCs/>
          <w:sz w:val="32"/>
          <w:szCs w:val="32"/>
        </w:rPr>
        <w:t>（</w:t>
      </w:r>
      <w:r>
        <w:rPr>
          <w:rFonts w:hint="eastAsia" w:ascii="楷体_GB2312" w:hAnsi="仿宋" w:eastAsia="楷体_GB2312" w:cs="仿宋"/>
          <w:b/>
          <w:sz w:val="32"/>
          <w:szCs w:val="32"/>
        </w:rPr>
        <w:t>一）申报</w:t>
      </w:r>
    </w:p>
    <w:p w14:paraId="7C13A01E">
      <w:pPr>
        <w:pStyle w:val="6"/>
        <w:widowControl/>
        <w:spacing w:beforeAutospacing="0" w:afterAutospacing="0"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1、申报人在长沙科技网（</w:t>
      </w:r>
      <w:r>
        <w:fldChar w:fldCharType="begin"/>
      </w:r>
      <w:r>
        <w:instrText xml:space="preserve"> HYPERLINK "http://kjj.changsha.gov" </w:instrText>
      </w:r>
      <w:r>
        <w:fldChar w:fldCharType="separate"/>
      </w:r>
      <w:r>
        <w:rPr>
          <w:rStyle w:val="10"/>
          <w:rFonts w:hint="eastAsia" w:ascii="仿宋_GB2312" w:hAnsi="仿宋" w:eastAsia="仿宋_GB2312" w:cs="仿宋"/>
          <w:color w:val="auto"/>
          <w:sz w:val="32"/>
          <w:szCs w:val="32"/>
          <w:u w:val="none"/>
        </w:rPr>
        <w:t>http://kjj.changsha.gov</w:t>
      </w:r>
      <w:r>
        <w:rPr>
          <w:rStyle w:val="10"/>
          <w:rFonts w:hint="eastAsia" w:ascii="仿宋_GB2312" w:hAnsi="仿宋" w:eastAsia="仿宋_GB2312" w:cs="仿宋"/>
          <w:color w:val="auto"/>
          <w:sz w:val="32"/>
          <w:szCs w:val="32"/>
          <w:u w:val="none"/>
        </w:rPr>
        <w:fldChar w:fldCharType="end"/>
      </w:r>
      <w:r>
        <w:rPr>
          <w:rFonts w:hint="eastAsia" w:ascii="仿宋_GB2312" w:hAnsi="仿宋" w:eastAsia="仿宋_GB2312" w:cs="仿宋"/>
          <w:sz w:val="32"/>
          <w:szCs w:val="32"/>
        </w:rPr>
        <w:t>.cn/）的“长沙市科技综合信息管理系统”中填报《长沙市自然科学基金项目申报书》和《财政备案表》，具体填报要求参见附件2申报书模板和填写说明，同时上传有关附件材料、项目申报人科研诚信承诺书（已签字的扫描件）等。</w:t>
      </w:r>
    </w:p>
    <w:p w14:paraId="7B0D2029">
      <w:pPr>
        <w:pStyle w:val="6"/>
        <w:widowControl/>
        <w:spacing w:beforeAutospacing="0" w:afterAutospacing="0"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2、2024年度长沙市自然科学基金项目研究期限统一从2025年1月1日起，项目的执行期原则上为两年以内，最高不超过三年</w:t>
      </w:r>
      <w:r>
        <w:rPr>
          <w:rFonts w:hint="eastAsia" w:ascii="仿宋_GB2312" w:hAnsi="仿宋" w:eastAsia="仿宋_GB2312" w:cs="仿宋"/>
          <w:b/>
          <w:sz w:val="32"/>
          <w:szCs w:val="32"/>
        </w:rPr>
        <w:t>。</w:t>
      </w:r>
    </w:p>
    <w:p w14:paraId="463BF50C">
      <w:pPr>
        <w:pStyle w:val="6"/>
        <w:widowControl/>
        <w:spacing w:beforeAutospacing="0" w:afterAutospacing="0"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3、2024年度长沙市自然科学基金项目资助资金将在2025年科技发展专项资金中安排。</w:t>
      </w:r>
    </w:p>
    <w:p w14:paraId="65734941">
      <w:pPr>
        <w:pStyle w:val="6"/>
        <w:widowControl/>
        <w:spacing w:beforeAutospacing="0" w:afterAutospacing="0" w:line="560" w:lineRule="exact"/>
        <w:ind w:firstLine="643" w:firstLineChars="200"/>
        <w:rPr>
          <w:rFonts w:ascii="楷体_GB2312" w:hAnsi="仿宋" w:eastAsia="楷体_GB2312" w:cs="仿宋"/>
          <w:b/>
          <w:bCs/>
          <w:sz w:val="32"/>
          <w:szCs w:val="32"/>
        </w:rPr>
      </w:pPr>
      <w:r>
        <w:rPr>
          <w:rFonts w:hint="eastAsia" w:ascii="楷体_GB2312" w:hAnsi="仿宋" w:eastAsia="楷体_GB2312" w:cs="仿宋"/>
          <w:b/>
          <w:bCs/>
          <w:sz w:val="32"/>
          <w:szCs w:val="32"/>
        </w:rPr>
        <w:t>（二）推荐</w:t>
      </w:r>
    </w:p>
    <w:p w14:paraId="1DE84940">
      <w:pPr>
        <w:pStyle w:val="6"/>
        <w:widowControl/>
        <w:spacing w:beforeAutospacing="0" w:afterAutospacing="0"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各推荐单位须按照《长沙市自然科学基金项目管理办法》、《2024年度长沙市自然科学基金项目申报指南》要求，对项目申报材料的真实性和完整性进行初审，对项目申报人资格和项目真实性进行审查，认真把关，控制数量，择优推荐。</w:t>
      </w:r>
    </w:p>
    <w:p w14:paraId="5695AD13">
      <w:pPr>
        <w:pStyle w:val="6"/>
        <w:widowControl/>
        <w:spacing w:beforeAutospacing="0" w:afterAutospacing="0"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2、推荐单位对合格项目进行网上推荐，并从系统中导出推荐项目汇总表，将推荐项目汇总表行文一式二份邮寄至长沙科技成果转化服务中心企业与项目服务科。不在推荐函中的项目不予受理。</w:t>
      </w:r>
    </w:p>
    <w:p w14:paraId="4C1E1746">
      <w:pPr>
        <w:pStyle w:val="6"/>
        <w:widowControl/>
        <w:spacing w:beforeAutospacing="0" w:afterAutospacing="0"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3、推荐单位：依托单位为高等院校、科研院所（部属、省属及市属）、三级医院的，由其科技管理部门审查，由院校、科研院所、医院行文推荐。二级及以下医院和其他医疗机构由市卫生行政主管部门审查行文推荐。其他申报单位为市属单位的，由市行政主管部门审查行文推荐。</w:t>
      </w:r>
    </w:p>
    <w:p w14:paraId="46005FD6">
      <w:pPr>
        <w:pStyle w:val="6"/>
        <w:spacing w:beforeAutospacing="0" w:afterAutospacing="0"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依托单位属湘江新区或各区、县（市）的，由当地科技主管部门作为推荐单位审查行文推荐。</w:t>
      </w:r>
    </w:p>
    <w:p w14:paraId="1E7300CC">
      <w:pPr>
        <w:pStyle w:val="6"/>
        <w:widowControl/>
        <w:spacing w:beforeAutospacing="0" w:afterAutospacing="0" w:line="560" w:lineRule="exact"/>
        <w:ind w:firstLine="640" w:firstLineChars="200"/>
        <w:rPr>
          <w:rFonts w:ascii="黑体" w:hAnsi="黑体" w:eastAsia="黑体" w:cs="仿宋"/>
          <w:sz w:val="32"/>
          <w:szCs w:val="32"/>
        </w:rPr>
      </w:pPr>
      <w:r>
        <w:rPr>
          <w:rFonts w:hint="eastAsia" w:ascii="黑体" w:hAnsi="黑体" w:eastAsia="黑体" w:cs="仿宋"/>
          <w:sz w:val="32"/>
          <w:szCs w:val="32"/>
        </w:rPr>
        <w:t>六、申报材料</w:t>
      </w:r>
    </w:p>
    <w:p w14:paraId="4AE500F0">
      <w:pPr>
        <w:pStyle w:val="6"/>
        <w:widowControl/>
        <w:spacing w:beforeAutospacing="0" w:afterAutospacing="0"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市自科基金项目实行网上申报及评审，未立项前不需要报送纸质材料。立项后从网上下载打印申报材料2份，个人和依托单位签字盖章并附“申报人科研诚信承诺书”原件，再由推荐单位盖章后交至市科技局主管处室。</w:t>
      </w:r>
    </w:p>
    <w:p w14:paraId="6B67778B">
      <w:pPr>
        <w:pStyle w:val="6"/>
        <w:widowControl/>
        <w:spacing w:beforeAutospacing="0" w:afterAutospacing="0" w:line="560" w:lineRule="exact"/>
        <w:ind w:firstLine="640" w:firstLineChars="200"/>
        <w:rPr>
          <w:rFonts w:ascii="黑体" w:hAnsi="黑体" w:eastAsia="黑体" w:cs="仿宋"/>
          <w:sz w:val="32"/>
          <w:szCs w:val="32"/>
        </w:rPr>
      </w:pPr>
      <w:r>
        <w:rPr>
          <w:rFonts w:hint="eastAsia" w:ascii="黑体" w:hAnsi="黑体" w:eastAsia="黑体" w:cs="仿宋"/>
          <w:sz w:val="32"/>
          <w:szCs w:val="32"/>
        </w:rPr>
        <w:t>七、申报时间</w:t>
      </w:r>
    </w:p>
    <w:p w14:paraId="0EFFF404">
      <w:pPr>
        <w:spacing w:line="560" w:lineRule="exact"/>
        <w:ind w:firstLine="640" w:firstLineChars="200"/>
        <w:rPr>
          <w:rFonts w:ascii="仿宋_GB2312" w:hAnsi="仿宋" w:eastAsia="仿宋_GB2312" w:cs="仿宋"/>
          <w:sz w:val="32"/>
          <w:szCs w:val="32"/>
        </w:rPr>
      </w:pPr>
      <w:r>
        <w:rPr>
          <w:rFonts w:hint="eastAsia" w:ascii="仿宋_GB2312" w:hAnsi="仿宋" w:eastAsia="仿宋_GB2312"/>
          <w:sz w:val="32"/>
          <w:szCs w:val="32"/>
        </w:rPr>
        <w:t>申报时间为即日起至2024年11月8日17:00止，推荐截止时间为2024年11月22日17:00，逾期不予受理。</w:t>
      </w:r>
    </w:p>
    <w:p w14:paraId="717BEACA">
      <w:pPr>
        <w:pStyle w:val="6"/>
        <w:widowControl/>
        <w:spacing w:beforeAutospacing="0" w:afterAutospacing="0" w:line="560" w:lineRule="exact"/>
        <w:ind w:firstLine="640" w:firstLineChars="200"/>
        <w:rPr>
          <w:rFonts w:ascii="黑体" w:hAnsi="黑体" w:eastAsia="黑体" w:cs="仿宋"/>
          <w:sz w:val="32"/>
          <w:szCs w:val="32"/>
        </w:rPr>
      </w:pPr>
      <w:r>
        <w:rPr>
          <w:rFonts w:hint="eastAsia" w:ascii="黑体" w:hAnsi="黑体" w:eastAsia="黑体" w:cs="仿宋"/>
          <w:sz w:val="32"/>
          <w:szCs w:val="32"/>
        </w:rPr>
        <w:t>八、联系电话</w:t>
      </w:r>
    </w:p>
    <w:p w14:paraId="3D1BFFD3">
      <w:pPr>
        <w:pStyle w:val="6"/>
        <w:widowControl/>
        <w:spacing w:beforeAutospacing="0" w:afterAutospacing="0" w:line="560" w:lineRule="exact"/>
        <w:ind w:firstLine="643" w:firstLineChars="200"/>
        <w:rPr>
          <w:rFonts w:ascii="仿宋_GB2312" w:hAnsi="仿宋" w:eastAsia="仿宋_GB2312" w:cs="仿宋"/>
          <w:b/>
          <w:bCs/>
          <w:sz w:val="32"/>
          <w:szCs w:val="32"/>
        </w:rPr>
      </w:pPr>
      <w:r>
        <w:rPr>
          <w:rFonts w:hint="eastAsia" w:ascii="仿宋_GB2312" w:hAnsi="仿宋" w:eastAsia="仿宋_GB2312" w:cs="仿宋"/>
          <w:b/>
          <w:bCs/>
          <w:sz w:val="32"/>
          <w:szCs w:val="32"/>
        </w:rPr>
        <w:t>1、项目受理中心：</w:t>
      </w:r>
    </w:p>
    <w:p w14:paraId="2586CD6B">
      <w:pPr>
        <w:pStyle w:val="6"/>
        <w:widowControl/>
        <w:spacing w:beforeAutospacing="0" w:afterAutospacing="0"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长沙科技成果转化服务中心企业与项目服务科：</w:t>
      </w:r>
      <w:bookmarkStart w:id="0" w:name="_GoBack"/>
      <w:bookmarkEnd w:id="0"/>
    </w:p>
    <w:p w14:paraId="102A605D">
      <w:pPr>
        <w:pStyle w:val="6"/>
        <w:widowControl/>
        <w:spacing w:beforeAutospacing="0" w:afterAutospacing="0" w:line="560" w:lineRule="exact"/>
        <w:rPr>
          <w:rFonts w:ascii="仿宋_GB2312" w:hAnsi="仿宋" w:eastAsia="仿宋_GB2312" w:cs="仿宋"/>
          <w:sz w:val="32"/>
          <w:szCs w:val="32"/>
        </w:rPr>
      </w:pPr>
      <w:r>
        <w:rPr>
          <w:rFonts w:hint="eastAsia" w:ascii="仿宋_GB2312" w:hAnsi="仿宋" w:eastAsia="仿宋_GB2312" w:cs="仿宋"/>
          <w:sz w:val="32"/>
          <w:szCs w:val="32"/>
        </w:rPr>
        <w:t xml:space="preserve">88612506、88612508   </w:t>
      </w:r>
    </w:p>
    <w:p w14:paraId="61C1395C">
      <w:pPr>
        <w:pStyle w:val="6"/>
        <w:widowControl/>
        <w:spacing w:beforeAutospacing="0" w:afterAutospacing="0"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w:t>
      </w:r>
      <w:r>
        <w:rPr>
          <w:rFonts w:hint="eastAsia" w:ascii="仿宋_GB2312" w:hAnsi="Calibri" w:eastAsia="仿宋_GB2312"/>
          <w:sz w:val="32"/>
          <w:szCs w:val="32"/>
        </w:rPr>
        <w:t>长沙市岳麓区麓景路2号1栋西边2楼227 邮编：410205</w:t>
      </w:r>
      <w:r>
        <w:rPr>
          <w:rFonts w:hint="eastAsia" w:ascii="仿宋_GB2312" w:hAnsi="仿宋" w:eastAsia="仿宋_GB2312" w:cs="仿宋"/>
          <w:sz w:val="32"/>
          <w:szCs w:val="32"/>
        </w:rPr>
        <w:t>）</w:t>
      </w:r>
    </w:p>
    <w:p w14:paraId="231950FA">
      <w:pPr>
        <w:pStyle w:val="6"/>
        <w:widowControl/>
        <w:spacing w:beforeAutospacing="0" w:afterAutospacing="0" w:line="560" w:lineRule="exact"/>
        <w:ind w:firstLine="643" w:firstLineChars="200"/>
        <w:rPr>
          <w:rFonts w:ascii="仿宋_GB2312" w:hAnsi="仿宋" w:eastAsia="仿宋_GB2312" w:cs="仿宋"/>
          <w:b/>
          <w:bCs/>
          <w:sz w:val="32"/>
          <w:szCs w:val="32"/>
        </w:rPr>
      </w:pPr>
      <w:r>
        <w:rPr>
          <w:rFonts w:hint="eastAsia" w:ascii="仿宋_GB2312" w:hAnsi="仿宋" w:eastAsia="仿宋_GB2312" w:cs="仿宋"/>
          <w:b/>
          <w:bCs/>
          <w:sz w:val="32"/>
          <w:szCs w:val="32"/>
        </w:rPr>
        <w:t>2、主管处室：</w:t>
      </w:r>
    </w:p>
    <w:p w14:paraId="106F7B98">
      <w:pPr>
        <w:pStyle w:val="6"/>
        <w:widowControl/>
        <w:spacing w:beforeAutospacing="0" w:afterAutospacing="0"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长沙市科技局资源配置与管理处：88666169</w:t>
      </w:r>
    </w:p>
    <w:p w14:paraId="2CBBE44D">
      <w:pPr>
        <w:pStyle w:val="6"/>
        <w:widowControl/>
        <w:spacing w:beforeAutospacing="0" w:afterAutospacing="0"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长沙市科技局科技成果与技术市场处：88668061</w:t>
      </w:r>
    </w:p>
    <w:p w14:paraId="7BD3E695">
      <w:pPr>
        <w:pStyle w:val="6"/>
        <w:widowControl/>
        <w:spacing w:beforeAutospacing="0" w:afterAutospacing="0"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长沙市科技局社会发展科技与农村科技处：88666164</w:t>
      </w:r>
    </w:p>
    <w:p w14:paraId="2464902F">
      <w:pPr>
        <w:pStyle w:val="6"/>
        <w:widowControl/>
        <w:spacing w:beforeAutospacing="0" w:afterAutospacing="0" w:line="560" w:lineRule="exact"/>
        <w:ind w:firstLine="643" w:firstLineChars="200"/>
        <w:rPr>
          <w:rFonts w:ascii="仿宋_GB2312" w:hAnsi="仿宋" w:eastAsia="仿宋_GB2312" w:cs="仿宋"/>
          <w:b/>
          <w:bCs/>
          <w:sz w:val="32"/>
          <w:szCs w:val="32"/>
        </w:rPr>
      </w:pPr>
      <w:r>
        <w:rPr>
          <w:rFonts w:hint="eastAsia" w:ascii="仿宋_GB2312" w:hAnsi="仿宋" w:eastAsia="仿宋_GB2312" w:cs="仿宋"/>
          <w:b/>
          <w:bCs/>
          <w:sz w:val="32"/>
          <w:szCs w:val="32"/>
        </w:rPr>
        <w:t>3、投诉受理：</w:t>
      </w:r>
    </w:p>
    <w:p w14:paraId="5E1BA604">
      <w:pPr>
        <w:pStyle w:val="6"/>
        <w:widowControl/>
        <w:spacing w:beforeAutospacing="0" w:afterAutospacing="0"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长沙市科技局科技监督与诚信建设处：88666750</w:t>
      </w:r>
    </w:p>
    <w:p w14:paraId="6B93D352">
      <w:pPr>
        <w:spacing w:after="156" w:afterLines="50" w:line="700" w:lineRule="exact"/>
        <w:rPr>
          <w:rFonts w:ascii="仿宋_GB2312" w:hAnsi="仿宋" w:eastAsia="仿宋_GB2312" w:cs="仿宋"/>
          <w:sz w:val="32"/>
          <w:szCs w:val="32"/>
        </w:rPr>
      </w:pPr>
    </w:p>
    <w:p w14:paraId="40C9B19D">
      <w:pPr>
        <w:spacing w:after="156" w:afterLines="50" w:line="700" w:lineRule="exact"/>
        <w:rPr>
          <w:rFonts w:ascii="仿宋_GB2312" w:hAnsi="仿宋" w:eastAsia="仿宋_GB2312" w:cs="仿宋"/>
          <w:sz w:val="32"/>
          <w:szCs w:val="32"/>
        </w:rPr>
      </w:pPr>
    </w:p>
    <w:p w14:paraId="1EA81A07">
      <w:pPr>
        <w:spacing w:line="600" w:lineRule="exact"/>
        <w:rPr>
          <w:rFonts w:ascii="仿宋_GB2312" w:hAnsi="仿宋" w:eastAsia="仿宋_GB2312" w:cs="仿宋"/>
          <w:bCs/>
          <w:sz w:val="32"/>
          <w:szCs w:val="32"/>
        </w:rPr>
      </w:pPr>
    </w:p>
    <w:sectPr>
      <w:footerReference r:id="rId3" w:type="default"/>
      <w:footerReference r:id="rId4" w:type="even"/>
      <w:pgSz w:w="11906" w:h="16838"/>
      <w:pgMar w:top="1440" w:right="1080" w:bottom="1440" w:left="108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panose1 w:val="02000000000000000000"/>
    <w:charset w:val="86"/>
    <w:family w:val="script"/>
    <w:pitch w:val="default"/>
    <w:sig w:usb0="00000001" w:usb1="08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15255073"/>
      <w:docPartObj>
        <w:docPartGallery w:val="autotext"/>
      </w:docPartObj>
    </w:sdtPr>
    <w:sdtEndPr>
      <w:rPr>
        <w:rFonts w:ascii="Times New Roman" w:hAnsi="Times New Roman" w:cs="Times New Roman"/>
        <w:sz w:val="21"/>
        <w:szCs w:val="21"/>
      </w:rPr>
    </w:sdtEndPr>
    <w:sdtContent>
      <w:p w14:paraId="2C1980B4">
        <w:pPr>
          <w:pStyle w:val="3"/>
          <w:jc w:val="right"/>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PAGE   \* MERGEFORMAT</w:instrText>
        </w:r>
        <w:r>
          <w:rPr>
            <w:rFonts w:ascii="Times New Roman" w:hAnsi="Times New Roman" w:cs="Times New Roman"/>
            <w:sz w:val="21"/>
            <w:szCs w:val="21"/>
          </w:rPr>
          <w:fldChar w:fldCharType="separate"/>
        </w:r>
        <w:r>
          <w:rPr>
            <w:rFonts w:ascii="Times New Roman" w:hAnsi="Times New Roman" w:cs="Times New Roman"/>
            <w:sz w:val="21"/>
            <w:szCs w:val="21"/>
            <w:lang w:val="zh-CN"/>
          </w:rPr>
          <w:t>-</w:t>
        </w:r>
        <w:r>
          <w:rPr>
            <w:rFonts w:ascii="Times New Roman" w:hAnsi="Times New Roman" w:cs="Times New Roman"/>
            <w:sz w:val="21"/>
            <w:szCs w:val="21"/>
          </w:rPr>
          <w:t xml:space="preserve"> 25 -</w:t>
        </w:r>
        <w:r>
          <w:rPr>
            <w:rFonts w:ascii="Times New Roman" w:hAnsi="Times New Roman" w:cs="Times New Roman"/>
            <w:sz w:val="21"/>
            <w:szCs w:val="21"/>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2B2391">
    <w:pPr>
      <w:pStyle w:val="3"/>
      <w:rPr>
        <w:rFonts w:ascii="Times New Roman" w:hAnsi="Times New Roman"/>
        <w:sz w:val="21"/>
        <w:szCs w:val="21"/>
      </w:rPr>
    </w:pPr>
    <w:r>
      <w:rPr>
        <w:rFonts w:ascii="Times New Roman" w:hAnsi="Times New Roman"/>
        <w:sz w:val="21"/>
        <w:szCs w:val="21"/>
      </w:rPr>
      <w:fldChar w:fldCharType="begin"/>
    </w:r>
    <w:r>
      <w:rPr>
        <w:rFonts w:ascii="Times New Roman" w:hAnsi="Times New Roman"/>
        <w:sz w:val="21"/>
        <w:szCs w:val="21"/>
      </w:rPr>
      <w:instrText xml:space="preserve">PAGE   \* MERGEFORMAT</w:instrText>
    </w:r>
    <w:r>
      <w:rPr>
        <w:rFonts w:ascii="Times New Roman" w:hAnsi="Times New Roman"/>
        <w:sz w:val="21"/>
        <w:szCs w:val="21"/>
      </w:rPr>
      <w:fldChar w:fldCharType="separate"/>
    </w:r>
    <w:r>
      <w:rPr>
        <w:rFonts w:ascii="Times New Roman" w:hAnsi="Times New Roman"/>
        <w:sz w:val="21"/>
        <w:szCs w:val="21"/>
        <w:lang w:val="zh-CN"/>
      </w:rPr>
      <w:t>-</w:t>
    </w:r>
    <w:r>
      <w:rPr>
        <w:rFonts w:ascii="Times New Roman" w:hAnsi="Times New Roman"/>
        <w:sz w:val="21"/>
        <w:szCs w:val="21"/>
      </w:rPr>
      <w:t xml:space="preserve"> 2 -</w:t>
    </w:r>
    <w:r>
      <w:rPr>
        <w:rFonts w:ascii="Times New Roman" w:hAnsi="Times New Roman"/>
        <w:sz w:val="21"/>
        <w:szCs w:val="21"/>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4ZWZmOWEwZDUxNjYwOGE5OTg3OTJjMTI5NWZhNGIifQ=="/>
  </w:docVars>
  <w:rsids>
    <w:rsidRoot w:val="00DA0FF9"/>
    <w:rsid w:val="00015D47"/>
    <w:rsid w:val="00060899"/>
    <w:rsid w:val="001B3588"/>
    <w:rsid w:val="001D19C1"/>
    <w:rsid w:val="001D41EA"/>
    <w:rsid w:val="002025E5"/>
    <w:rsid w:val="002265B3"/>
    <w:rsid w:val="0024095A"/>
    <w:rsid w:val="00324A79"/>
    <w:rsid w:val="00371EF0"/>
    <w:rsid w:val="003A5BA7"/>
    <w:rsid w:val="003B3AC9"/>
    <w:rsid w:val="003D1742"/>
    <w:rsid w:val="00443C9D"/>
    <w:rsid w:val="00525A47"/>
    <w:rsid w:val="00533639"/>
    <w:rsid w:val="00551768"/>
    <w:rsid w:val="0055293C"/>
    <w:rsid w:val="00587366"/>
    <w:rsid w:val="006176DB"/>
    <w:rsid w:val="006702D4"/>
    <w:rsid w:val="006E527E"/>
    <w:rsid w:val="0070428D"/>
    <w:rsid w:val="00877FD7"/>
    <w:rsid w:val="00971704"/>
    <w:rsid w:val="009873AB"/>
    <w:rsid w:val="009A4907"/>
    <w:rsid w:val="009B55C2"/>
    <w:rsid w:val="009F65F5"/>
    <w:rsid w:val="00B51999"/>
    <w:rsid w:val="00B82C92"/>
    <w:rsid w:val="00BA4959"/>
    <w:rsid w:val="00C661EA"/>
    <w:rsid w:val="00C9683A"/>
    <w:rsid w:val="00CD4CDA"/>
    <w:rsid w:val="00D21C59"/>
    <w:rsid w:val="00DA0FF9"/>
    <w:rsid w:val="00DD3C9E"/>
    <w:rsid w:val="00E1353C"/>
    <w:rsid w:val="00E26388"/>
    <w:rsid w:val="00F20E78"/>
    <w:rsid w:val="00F67A5E"/>
    <w:rsid w:val="00FC0EF9"/>
    <w:rsid w:val="00FF361B"/>
    <w:rsid w:val="0FF918E8"/>
    <w:rsid w:val="42307BD2"/>
    <w:rsid w:val="4BF759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qFormat/>
    <w:uiPriority w:val="0"/>
    <w:rPr>
      <w:sz w:val="18"/>
      <w:szCs w:val="18"/>
    </w:rPr>
  </w:style>
  <w:style w:type="paragraph" w:styleId="3">
    <w:name w:val="footer"/>
    <w:basedOn w:val="1"/>
    <w:link w:val="14"/>
    <w:qFormat/>
    <w:uiPriority w:val="99"/>
    <w:pPr>
      <w:tabs>
        <w:tab w:val="center" w:pos="4153"/>
        <w:tab w:val="right" w:pos="8306"/>
      </w:tabs>
      <w:snapToGrid w:val="0"/>
      <w:jc w:val="left"/>
    </w:pPr>
    <w:rPr>
      <w:sz w:val="18"/>
      <w:szCs w:val="18"/>
    </w:rPr>
  </w:style>
  <w:style w:type="paragraph" w:styleId="4">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5">
    <w:name w:val="footnote text"/>
    <w:basedOn w:val="1"/>
    <w:link w:val="11"/>
    <w:qFormat/>
    <w:uiPriority w:val="0"/>
    <w:pPr>
      <w:adjustRightInd w:val="0"/>
      <w:snapToGrid w:val="0"/>
      <w:spacing w:line="360" w:lineRule="atLeast"/>
      <w:jc w:val="left"/>
      <w:textAlignment w:val="baseline"/>
    </w:pPr>
    <w:rPr>
      <w:kern w:val="0"/>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uiPriority w:val="0"/>
    <w:rPr>
      <w:color w:val="0563C1" w:themeColor="hyperlink"/>
      <w:u w:val="single"/>
      <w14:textFill>
        <w14:solidFill>
          <w14:schemeClr w14:val="hlink"/>
        </w14:solidFill>
      </w14:textFill>
    </w:rPr>
  </w:style>
  <w:style w:type="character" w:customStyle="1" w:styleId="11">
    <w:name w:val="脚注文本 Char"/>
    <w:basedOn w:val="9"/>
    <w:link w:val="5"/>
    <w:qFormat/>
    <w:uiPriority w:val="0"/>
    <w:rPr>
      <w:sz w:val="18"/>
      <w:szCs w:val="18"/>
    </w:rPr>
  </w:style>
  <w:style w:type="character" w:customStyle="1" w:styleId="12">
    <w:name w:val="批注框文本 Char"/>
    <w:basedOn w:val="9"/>
    <w:link w:val="2"/>
    <w:qFormat/>
    <w:uiPriority w:val="0"/>
    <w:rPr>
      <w:kern w:val="2"/>
      <w:sz w:val="18"/>
      <w:szCs w:val="18"/>
    </w:rPr>
  </w:style>
  <w:style w:type="character" w:customStyle="1" w:styleId="13">
    <w:name w:val="页眉 Char"/>
    <w:basedOn w:val="9"/>
    <w:link w:val="4"/>
    <w:qFormat/>
    <w:uiPriority w:val="0"/>
    <w:rPr>
      <w:kern w:val="2"/>
      <w:sz w:val="18"/>
      <w:szCs w:val="18"/>
    </w:rPr>
  </w:style>
  <w:style w:type="character" w:customStyle="1" w:styleId="14">
    <w:name w:val="页脚 Char"/>
    <w:basedOn w:val="9"/>
    <w:link w:val="3"/>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4</Pages>
  <Words>1722</Words>
  <Characters>1835</Characters>
  <Lines>53</Lines>
  <Paragraphs>14</Paragraphs>
  <TotalTime>2082</TotalTime>
  <ScaleCrop>false</ScaleCrop>
  <LinksUpToDate>false</LinksUpToDate>
  <CharactersWithSpaces>1839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2024-10-15T13:44:00Z</dcterms:created>
  <dc:creator>chenwen</dc:creator>
  <cp:lastModifiedBy>William Say</cp:lastModifiedBy>
  <cp:lastPrinted>2024-10-21T07:56:58Z</cp:lastPrinted>
  <dcterms:modified xsi:type="dcterms:W3CDTF">2024-10-21T07:57:02Z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322E2D58C4F04383811639CA1F7B1ADC</vt:lpwstr>
  </property>
</Properties>
</file>