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工程造价专业（专科）执行性专业规则进程表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220301454050200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00453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高等数学基础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50402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建设法规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建筑制图基础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建筑构造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建筑材料(A)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00493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工程造价基础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00476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工程经济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生活方式与常见疾病预防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商务礼仪概论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毕业综合实训（工程造价）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理工英语1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50407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建筑工程技术资料管理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00880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建筑施工技术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00865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建筑工程项目招投标与合同管理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00863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建筑工程估价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建筑工程项目管理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建筑工程估价实训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00043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安装工程估价实训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00038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安装工程估价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187365E8"/>
    <w:rsid w:val="1C3C5E72"/>
    <w:rsid w:val="26E33420"/>
    <w:rsid w:val="32F07EE9"/>
    <w:rsid w:val="50820CEA"/>
    <w:rsid w:val="51D7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2022-03-18T02:58:42Z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962DF27042374AD7BD84C8BF0F42B972</vt:lpwstr>
  </property>
</Properties>
</file>