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A636E">
      <w:pPr>
        <w:pStyle w:val="15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/>
          <w:sz w:val="30"/>
          <w:szCs w:val="30"/>
          <w:lang w:val="en-US" w:eastAsia="zh-CN"/>
        </w:rPr>
      </w:pPr>
      <mc:AlternateContent>
        <mc:Choice Requires="wpsCustomData">
          <wpsCustomData:docfieldStart id="0" docfieldname="标题_1" hidden="0" print="1" readonly="0" index="2"/>
        </mc:Choice>
      </mc:AlternateContent>
      <w:r>
        <w:rPr>
          <w:rFonts w:hint="eastAsia"/>
          <w:sz w:val="30"/>
          <w:szCs w:val="30"/>
          <w:lang w:val="en-US" w:eastAsia="zh-CN"/>
        </w:rPr>
        <w:t>附件2</w:t>
      </w:r>
    </w:p>
    <w:p w14:paraId="3020B3CE">
      <w:pPr>
        <w:pStyle w:val="15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/>
          <w:sz w:val="30"/>
          <w:szCs w:val="30"/>
          <w:lang w:val="en-US" w:eastAsia="zh-CN"/>
        </w:rPr>
      </w:pPr>
      <w:bookmarkStart w:id="9" w:name="_GoBack"/>
      <w:bookmarkEnd w:id="9"/>
    </w:p>
    <w:p w14:paraId="751A4CF9">
      <w:pPr>
        <w:pStyle w:val="15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sz w:val="44"/>
          <w:szCs w:val="44"/>
        </w:rPr>
      </w:pPr>
      <w:r>
        <w:rPr>
          <w:rFonts w:hint="eastAsia"/>
          <w:sz w:val="44"/>
          <w:szCs w:val="44"/>
          <w:lang w:val="en-US" w:eastAsia="zh-CN"/>
        </w:rPr>
        <w:t>2026年湖南开放大学终身</w:t>
      </w:r>
      <w:r>
        <w:rPr>
          <w:sz w:val="44"/>
          <w:szCs w:val="44"/>
        </w:rPr>
        <w:t>教育</w:t>
      </w:r>
    </w:p>
    <w:p w14:paraId="6BEA1FCB">
      <w:pPr>
        <w:pStyle w:val="15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sz w:val="44"/>
          <w:szCs w:val="44"/>
        </w:rPr>
      </w:pPr>
      <w:r>
        <w:rPr>
          <w:rFonts w:hint="eastAsia"/>
          <w:sz w:val="44"/>
          <w:szCs w:val="44"/>
          <w:lang w:val="en-US" w:eastAsia="zh-CN"/>
        </w:rPr>
        <w:t>网络</w:t>
      </w:r>
      <w:r>
        <w:rPr>
          <w:sz w:val="44"/>
          <w:szCs w:val="44"/>
        </w:rPr>
        <w:t>精品课程建设要求与建设标准</w:t>
      </w:r>
      <mc:AlternateContent>
        <mc:Choice Requires="wpsCustomData">
          <wpsCustomData:docfieldEnd id="0"/>
        </mc:Choice>
      </mc:AlternateContent>
    </w:p>
    <w:p w14:paraId="520704FB"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exact"/>
        <w:textAlignment w:val="auto"/>
        <w:rPr>
          <w:rFonts w:hint="eastAsia"/>
          <w:sz w:val="44"/>
          <w:szCs w:val="44"/>
          <w:lang w:eastAsia="zh-CN"/>
        </w:rPr>
      </w:pPr>
      <w:bookmarkStart w:id="0" w:name="heading_0"/>
    </w:p>
    <w:p w14:paraId="639BE276"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exact"/>
        <w:textAlignment w:val="auto"/>
        <w:rPr>
          <w:rFonts w:hint="eastAsia"/>
          <w:sz w:val="44"/>
          <w:szCs w:val="44"/>
          <w:lang w:eastAsia="zh-CN"/>
        </w:rPr>
      </w:pPr>
    </w:p>
    <w:p w14:paraId="470F7C7E">
      <w:pPr>
        <w:pStyle w:val="2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/>
        <w:jc w:val="both"/>
        <w:textAlignment w:val="auto"/>
        <w:rPr>
          <w:b w:val="0"/>
        </w:rPr>
      </w:pPr>
      <w:r>
        <w:rPr>
          <w:rFonts w:hint="eastAsia"/>
          <w:lang w:eastAsia="zh-CN"/>
        </w:rPr>
        <w:t>一、</w:t>
      </w:r>
      <w:r>
        <w:t>建设要求</w:t>
      </w:r>
      <w:bookmarkEnd w:id="0"/>
    </w:p>
    <w:p w14:paraId="60E5489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</w:rPr>
        <w:t>坚持立德树人，贯彻党的教育方针，落实全民终身学习理念，确保课程意识形态安全。以“实用、便捷、普惠、优质”为原则，确保课程针对性强、覆盖面广、兼顾地域特色。内容科学准确，与时俱进，融入新发展理念。课程须合规原创</w:t>
      </w: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</w:rPr>
        <w:t>有独立知识产权，严禁抄袭盗用。</w:t>
      </w:r>
    </w:p>
    <w:p w14:paraId="6AAAAC70">
      <w:pPr>
        <w:pStyle w:val="2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/>
        <w:jc w:val="both"/>
        <w:textAlignment w:val="auto"/>
        <w:rPr>
          <w:rFonts w:hint="eastAsia"/>
          <w:lang w:val="en-US" w:eastAsia="zh-CN"/>
        </w:rPr>
      </w:pPr>
      <w:bookmarkStart w:id="1" w:name="heading_7"/>
      <w:r>
        <w:rPr>
          <w:rFonts w:hint="eastAsia"/>
          <w:lang w:val="en-US" w:eastAsia="zh-CN"/>
        </w:rPr>
        <w:t>建设范围</w:t>
      </w:r>
    </w:p>
    <w:p w14:paraId="1A950B44"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</w:rPr>
        <w:t xml:space="preserve">本次共计新建 </w:t>
      </w: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  <w:t>25</w:t>
      </w: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</w:rPr>
        <w:t>门网络精品课程，结合全省</w:t>
      </w: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  <w:t>终身</w:t>
      </w: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</w:rPr>
        <w:t>教育需求特点，合理分配课程领域，确保课程覆盖面广泛、针对性强。具体领域如下：</w:t>
      </w:r>
    </w:p>
    <w:p w14:paraId="30EE750E">
      <w:pPr>
        <w:pStyle w:val="11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</w:rPr>
        <w:t>科学素养与数字技能类</w:t>
      </w:r>
    </w:p>
    <w:p w14:paraId="0C287EEA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</w:rPr>
        <w:t>面向全年龄段学习者的科学知识普及与数字能力提升需求，涵盖智能技术应用、科学思维培养、数字生活场景实操等内容：人工智能通识与AI工具应用、智能手机与智能设备操作、网络安全与个人信息保护、大数据与日常生活、科学思维与方法入门、生态环境与可持续发展基础。</w:t>
      </w:r>
    </w:p>
    <w:p w14:paraId="491F280B">
      <w:pPr>
        <w:pStyle w:val="11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</w:rPr>
        <w:t>职场技能与职业发展类</w:t>
      </w:r>
    </w:p>
    <w:p w14:paraId="25B4EB12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</w:rPr>
        <w:t>面向在职人员职业发展、新业态从业者技能提升及转岗再就业培训等需求：实用公文写作与办公软件应用、职场沟通与表达艺术、创业基础与小微企业经营管理、新媒体运营与短视频制作、新业态从业者权益保障、家政服务与养老护理技能、园艺花卉与居家种植技术。</w:t>
      </w:r>
    </w:p>
    <w:p w14:paraId="361CF32B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</w:rPr>
        <w:t>3. 文化素养与品质生活类</w:t>
      </w:r>
    </w:p>
    <w:p w14:paraId="4EC3AE14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</w:rPr>
        <w:t>突出本土文化传承与生活品质提升，面向全龄段学习者：湖湘传统文化与非遗赏析、书法绘画基础与艺术鉴赏、诗词诵读与经典文学、手机摄影与短视频创作、合唱声乐基础与音乐欣赏、文旅研学与旅游安全常识、家庭理财与法律权益保护。</w:t>
      </w:r>
    </w:p>
    <w:p w14:paraId="2E5276A4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</w:rPr>
        <w:t>4. 身心健康与科学康养类</w:t>
      </w:r>
    </w:p>
    <w:p w14:paraId="34B8C39A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</w:rPr>
        <w:t>坚持科学健康、正规科普，面向中老年群体及关注健康的各类人群：科学慢病管理与居家监测、合理膳食与营养健康、科学运动与居家康复、中医科学保健与穴位日常养护、心理健康与情绪调适、职场减压与身心平衡。</w:t>
      </w:r>
    </w:p>
    <w:p w14:paraId="53CCAAF8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</w:rPr>
        <w:t>5. 继续教育与学历提升类</w:t>
      </w:r>
    </w:p>
    <w:p w14:paraId="4088B4A7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</w:rPr>
        <w:t>对接学历继续教育需求，建设高等学历继续教育精品微课程，涵盖公共基础课、专业核心课等模块</w:t>
      </w: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eastAsia="zh-CN"/>
        </w:rPr>
        <w:t>。</w:t>
      </w:r>
    </w:p>
    <w:p w14:paraId="3011694B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</w:rPr>
        <w:t>6. 思政教育与湖湘红色文化类</w:t>
      </w:r>
    </w:p>
    <w:p w14:paraId="7374628E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结合庆祝红</w:t>
      </w: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</w:rPr>
        <w:t>军长征胜利90周年活动主题，建设红色文化课程资源；同时围绕公民道德建设、社会主义核心价值观、湖湘革命精神传承等内容，建设面向社会大众的思政教育微课程，推动思政课堂与社会课堂有机融合。</w:t>
      </w:r>
    </w:p>
    <w:p w14:paraId="60AF6F5A">
      <w:pPr>
        <w:pStyle w:val="2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0" w:firstLineChars="200"/>
        <w:jc w:val="both"/>
        <w:textAlignment w:val="auto"/>
        <w:rPr>
          <w:b w:val="0"/>
        </w:rPr>
      </w:pPr>
      <w:r>
        <w:rPr>
          <w:rFonts w:hint="eastAsia"/>
          <w:lang w:val="en-US" w:eastAsia="zh-CN"/>
        </w:rPr>
        <w:t>三</w:t>
      </w:r>
      <w:r>
        <w:rPr>
          <w:rFonts w:hint="eastAsia"/>
          <w:lang w:eastAsia="zh-CN"/>
        </w:rPr>
        <w:t>、</w:t>
      </w:r>
      <w:r>
        <w:t>建设标准</w:t>
      </w:r>
      <w:bookmarkEnd w:id="1"/>
    </w:p>
    <w:p w14:paraId="13184AD0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/>
        <w:jc w:val="both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bookmarkStart w:id="2" w:name="heading_8"/>
      <w:r>
        <w:rPr>
          <w:rFonts w:hint="eastAsia" w:ascii="楷体" w:hAnsi="楷体" w:eastAsia="楷体" w:cs="楷体"/>
          <w:sz w:val="32"/>
          <w:szCs w:val="32"/>
          <w:lang w:eastAsia="zh-CN"/>
        </w:rPr>
        <w:t>（一）课程</w:t>
      </w:r>
      <w:bookmarkEnd w:id="2"/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标准</w:t>
      </w:r>
    </w:p>
    <w:p w14:paraId="31716F88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</w:pPr>
      <w:bookmarkStart w:id="3" w:name="heading_10"/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  <w:t xml:space="preserve"> 1.课程目标</w:t>
      </w:r>
    </w:p>
    <w:p w14:paraId="23B36004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6"/>
          <w:sz w:val="32"/>
          <w:szCs w:val="32"/>
          <w:lang w:val="en-US" w:eastAsia="zh-CN"/>
        </w:rPr>
        <w:t>清晰条目化</w:t>
      </w: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  <w:t>：课程目标清晰、明确、条目化，能准确描述学员通过本课程学习后应达到的知识、技能和态度目标。</w:t>
      </w:r>
    </w:p>
    <w:p w14:paraId="37A41D98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6"/>
          <w:sz w:val="32"/>
          <w:szCs w:val="32"/>
          <w:lang w:val="en-US" w:eastAsia="zh-CN"/>
        </w:rPr>
        <w:t>可评可测</w:t>
      </w: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  <w:t>：课程目标具体、可评可测（如“能独立完成手机预约挂号”“能正确识别5种常见网络诈骗手段”等），避免笼统表述。</w:t>
      </w:r>
    </w:p>
    <w:p w14:paraId="7D2DD92E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6"/>
          <w:sz w:val="32"/>
          <w:szCs w:val="32"/>
          <w:lang w:val="en-US" w:eastAsia="zh-CN"/>
        </w:rPr>
        <w:t>理念契合：</w:t>
      </w: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  <w:t>课程目标体现现代社区教育理念，符合社区教育普惠性、实用性、灵活性的特点。</w:t>
      </w:r>
    </w:p>
    <w:p w14:paraId="055D43C2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  <w:t>2.课程定位</w:t>
      </w:r>
    </w:p>
    <w:p w14:paraId="1E1EBD9A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6"/>
          <w:sz w:val="32"/>
          <w:szCs w:val="32"/>
          <w:lang w:val="en-US" w:eastAsia="zh-CN"/>
        </w:rPr>
        <w:t>对象清晰：</w:t>
      </w: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  <w:t>课程定位准确，学习对象界定清晰，明确年龄层次、学历水平、前置知识和技能基础等。</w:t>
      </w:r>
    </w:p>
    <w:p w14:paraId="606AE0CF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6"/>
          <w:sz w:val="32"/>
          <w:szCs w:val="32"/>
          <w:lang w:val="en-US" w:eastAsia="zh-CN"/>
        </w:rPr>
        <w:t>类属与难度：</w:t>
      </w: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  <w:t>课程的类属（知识类/技能类/活动类/综合类）、难度级别（初级/中级/高级）定位清晰合理。</w:t>
      </w:r>
    </w:p>
    <w:p w14:paraId="31604083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6"/>
          <w:sz w:val="32"/>
          <w:szCs w:val="32"/>
          <w:lang w:val="en-US" w:eastAsia="zh-CN"/>
        </w:rPr>
        <w:t>名称规范：</w:t>
      </w: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  <w:t>课程名称规范、准确，能客观反映课程内容、深度和学习价值取向。</w:t>
      </w:r>
    </w:p>
    <w:p w14:paraId="5BB50F08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  <w:t>3.课程结构</w:t>
      </w:r>
    </w:p>
    <w:p w14:paraId="64CA527E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6"/>
          <w:sz w:val="32"/>
          <w:szCs w:val="32"/>
          <w:lang w:val="en-US" w:eastAsia="zh-CN"/>
        </w:rPr>
        <w:t>逻辑贯通：</w:t>
      </w: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  <w:t>课程整体结构分拆合理，教学重点突出，知识或技能脉络清晰完整、逻辑贯通。</w:t>
      </w:r>
    </w:p>
    <w:p w14:paraId="5C11DB2F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6"/>
          <w:sz w:val="32"/>
          <w:szCs w:val="32"/>
          <w:lang w:val="en-US" w:eastAsia="zh-CN"/>
        </w:rPr>
        <w:t>微课设计：</w:t>
      </w: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  <w:t>每门课程聚焦一个明确主题，至少包含10个微课，每个微课聚焦一个可测评的知识点或技能点，遵循“认知→理解→应用”的梯度递进规律。</w:t>
      </w:r>
    </w:p>
    <w:p w14:paraId="39154781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  <w:t>4.课程内容</w:t>
      </w:r>
    </w:p>
    <w:p w14:paraId="782443D8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6"/>
          <w:sz w:val="32"/>
          <w:szCs w:val="32"/>
          <w:lang w:val="en-US" w:eastAsia="zh-CN"/>
        </w:rPr>
        <w:t>科学严谨：</w:t>
      </w: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  <w:t>课程内容科学严谨，概念准确，事实无误，无知识性错误。</w:t>
      </w:r>
    </w:p>
    <w:p w14:paraId="0761A2F1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6"/>
          <w:sz w:val="32"/>
          <w:szCs w:val="32"/>
          <w:lang w:val="en-US" w:eastAsia="zh-CN"/>
        </w:rPr>
        <w:t>实用性强：</w:t>
      </w: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  <w:t>内容紧密围绕社区居民的真实生活场景，所学即所用，能够帮助社区居民解决工作、学习和生活中的实际问题。</w:t>
      </w:r>
    </w:p>
    <w:p w14:paraId="78228AD1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6"/>
          <w:sz w:val="32"/>
          <w:szCs w:val="32"/>
          <w:lang w:val="en-US" w:eastAsia="zh-CN"/>
        </w:rPr>
        <w:t>普惠包容：</w:t>
      </w: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  <w:t>内容关注社区居民中老年人、低学历人群等群体，体现普惠性和包容性，有助于提升数字素养。</w:t>
      </w:r>
    </w:p>
    <w:p w14:paraId="2AD18729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6"/>
          <w:sz w:val="32"/>
          <w:szCs w:val="32"/>
          <w:lang w:val="en-US" w:eastAsia="zh-CN"/>
        </w:rPr>
        <w:t>自主开发：</w:t>
      </w: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  <w:t>课程内容以自主开发为主，在知识体系建构、案例选择、教学方法上有明显原创性，避免通用知识的简单整合。</w:t>
      </w:r>
    </w:p>
    <w:p w14:paraId="223234F5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6"/>
          <w:sz w:val="32"/>
          <w:szCs w:val="32"/>
          <w:lang w:val="en-US" w:eastAsia="zh-CN"/>
        </w:rPr>
        <w:t>区域特色：</w:t>
      </w: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  <w:t>能结合区域特色资源或本地实践经验，形成具有独特价值的知识内容，避免现有公开资源的简单整合与拼贴。</w:t>
      </w:r>
    </w:p>
    <w:p w14:paraId="79003DA8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  <w:t>5.教学方式与方法</w:t>
      </w:r>
    </w:p>
    <w:p w14:paraId="3354B212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6"/>
          <w:sz w:val="32"/>
          <w:szCs w:val="32"/>
          <w:lang w:val="en-US" w:eastAsia="zh-CN"/>
        </w:rPr>
        <w:t>因材施教：</w:t>
      </w: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  <w:t>教学方法因地制宜、因材施教，能根据课程类型（知识类/技能类/活动类/综合类）选择适配的教学方法，符合课程特点和居民学习习惯。</w:t>
      </w:r>
    </w:p>
    <w:p w14:paraId="0520B679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6"/>
          <w:sz w:val="32"/>
          <w:szCs w:val="32"/>
          <w:lang w:val="en-US" w:eastAsia="zh-CN"/>
        </w:rPr>
        <w:t>互动设计</w:t>
      </w: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  <w:t>：教学过程中注重互动设计，能有效调动学员学习的主动性、积极性，增强学习参与效果。</w:t>
      </w:r>
    </w:p>
    <w:p w14:paraId="704BCBCF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 w:firstLineChars="200"/>
        <w:jc w:val="both"/>
        <w:textAlignment w:val="auto"/>
        <w:rPr>
          <w:b/>
          <w:bCs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6"/>
          <w:sz w:val="32"/>
          <w:szCs w:val="32"/>
          <w:lang w:val="en-US" w:eastAsia="zh-CN"/>
        </w:rPr>
        <w:t>技术赋能</w:t>
      </w: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  <w:t xml:space="preserve">：注重运用现代信息技术手段辅助教学，提升教学效果与学习体验。  </w:t>
      </w:r>
      <w:r>
        <w:rPr>
          <w:rFonts w:hint="eastAsia" w:cs="仿宋_GB2312"/>
          <w:sz w:val="32"/>
          <w:szCs w:val="32"/>
          <w:lang w:val="en-US" w:eastAsia="zh-CN"/>
        </w:rPr>
        <w:t xml:space="preserve">       </w:t>
      </w:r>
      <w:bookmarkEnd w:id="3"/>
      <w:bookmarkStart w:id="4" w:name="heading_11"/>
    </w:p>
    <w:p w14:paraId="6FC9CBDC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/>
        <w:jc w:val="both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技术标准</w:t>
      </w:r>
    </w:p>
    <w:p w14:paraId="228A8851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</w:rPr>
        <w:t>视频标准</w:t>
      </w:r>
      <w:bookmarkEnd w:id="4"/>
      <w:r>
        <w:rPr>
          <w:rFonts w:hint="eastAsia" w:ascii="方正仿宋_GB2312" w:hAnsi="方正仿宋_GB2312" w:eastAsia="方正仿宋_GB2312" w:cs="方正仿宋_GB2312"/>
          <w:b/>
          <w:bCs/>
          <w:lang w:eastAsia="zh-CN"/>
        </w:rPr>
        <w:t>：</w:t>
      </w:r>
      <w:r>
        <w:rPr>
          <w:rStyle w:val="27"/>
          <w:rFonts w:hint="eastAsia" w:ascii="方正仿宋_GB2312" w:hAnsi="方正仿宋_GB2312" w:eastAsia="方正仿宋_GB2312" w:cs="方正仿宋_GB2312"/>
          <w:sz w:val="32"/>
          <w:szCs w:val="32"/>
        </w:rPr>
        <w:t>分辨率不低于1920×1080（1080P），宽高比为16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:9，画面清晰，无模糊、抖动、雪花点现象；色彩自然均匀，无明显色差。</w:t>
      </w:r>
    </w:p>
    <w:p w14:paraId="1711C578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</w:pPr>
      <w:r>
        <w:rPr>
          <w:rStyle w:val="27"/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编码与格式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采用H.264／H.265编码，输出格式为MP4，兼容性强，支持主流播放器播放；视频码流率不低于8000Kb（CBR），帧速率不低于25fps，图像信噪比不低于55dB。</w:t>
      </w:r>
    </w:p>
    <w:p w14:paraId="56BA0A99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</w:pPr>
      <w:r>
        <w:rPr>
          <w:rStyle w:val="27"/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画面呈现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镜头稳定，聚焦准确；教师出镜时衣着整洁、精神饱满，背景简洁无干扰；演示类课程画面应清晰展示操作过程，便于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学习者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观看学习。</w:t>
      </w:r>
    </w:p>
    <w:p w14:paraId="381C064A">
      <w:pPr>
        <w:pStyle w:val="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lang w:eastAsia="zh-CN"/>
        </w:rPr>
      </w:pPr>
      <w:bookmarkStart w:id="5" w:name="heading_12"/>
      <w:r>
        <w:rPr>
          <w:rFonts w:hint="eastAsia" w:ascii="方正仿宋_GB2312" w:hAnsi="方正仿宋_GB2312" w:eastAsia="方正仿宋_GB2312" w:cs="方正仿宋_GB2312"/>
          <w:b/>
          <w:bCs/>
        </w:rPr>
        <w:t>音频标准</w:t>
      </w:r>
      <w:bookmarkEnd w:id="5"/>
    </w:p>
    <w:p w14:paraId="38C7D88A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Style w:val="27"/>
          <w:rFonts w:hint="eastAsia" w:ascii="方正仿宋_GB2312" w:hAnsi="方正仿宋_GB2312" w:eastAsia="方正仿宋_GB2312" w:cs="方正仿宋_GB2312"/>
          <w:sz w:val="32"/>
          <w:szCs w:val="32"/>
        </w:rPr>
        <w:t>音质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：声音清晰，无杂音、回声、交流声，音量适中均匀，无忽大忽小现象；音频采样率不低于48kHz，位深不低于16bit，采用AAC编码，双声道。</w:t>
      </w:r>
    </w:p>
    <w:p w14:paraId="2CF8B859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Style w:val="27"/>
          <w:rFonts w:hint="eastAsia" w:ascii="方正仿宋_GB2312" w:hAnsi="方正仿宋_GB2312" w:eastAsia="方正仿宋_GB2312" w:cs="方正仿宋_GB2312"/>
          <w:sz w:val="32"/>
          <w:szCs w:val="32"/>
        </w:rPr>
        <w:t>语言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：教师语言标准，语速适中（每分钟120－150字），口齿清晰、语气亲切，避免使用方言（特殊特色课程除外）；必</w:t>
      </w:r>
    </w:p>
    <w:p w14:paraId="775ED450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要时可添加字幕，辅助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学习者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理解。</w:t>
      </w:r>
    </w:p>
    <w:p w14:paraId="1CCE302A">
      <w:pPr>
        <w:pStyle w:val="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</w:rPr>
      </w:pPr>
      <w:bookmarkStart w:id="6" w:name="heading_13"/>
      <w:r>
        <w:rPr>
          <w:rFonts w:hint="eastAsia" w:ascii="方正仿宋_GB2312" w:hAnsi="方正仿宋_GB2312" w:eastAsia="方正仿宋_GB2312" w:cs="方正仿宋_GB2312"/>
          <w:b/>
          <w:bCs/>
        </w:rPr>
        <w:t>字幕标准</w:t>
      </w:r>
      <w:bookmarkEnd w:id="6"/>
    </w:p>
    <w:p w14:paraId="2F33F0A9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</w:pPr>
      <w:r>
        <w:rPr>
          <w:rStyle w:val="27"/>
          <w:rFonts w:hint="eastAsia" w:ascii="方正仿宋_GB2312" w:hAnsi="方正仿宋_GB2312" w:eastAsia="方正仿宋_GB2312" w:cs="方正仿宋_GB2312"/>
          <w:sz w:val="32"/>
          <w:szCs w:val="32"/>
        </w:rPr>
        <w:t>字体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：采用清晰易读的宋体或黑体，字号不小于32号，颜色与背景对比明显，便于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学习者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识别。</w:t>
      </w:r>
    </w:p>
    <w:p w14:paraId="3570C8B8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</w:pPr>
      <w:r>
        <w:rPr>
          <w:rStyle w:val="27"/>
          <w:rFonts w:hint="eastAsia" w:ascii="方正仿宋_GB2312" w:hAnsi="方正仿宋_GB2312" w:eastAsia="方正仿宋_GB2312" w:cs="方正仿宋_GB2312"/>
          <w:sz w:val="32"/>
          <w:szCs w:val="32"/>
        </w:rPr>
        <w:t>内容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：字幕应与音频同步，无错字、漏字、多字现象；语句通顺，符合课程内容，重点内容可适当加粗，便于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学习者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抓取核心信息。</w:t>
      </w:r>
    </w:p>
    <w:p w14:paraId="6C63DE95">
      <w:pPr>
        <w:pStyle w:val="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</w:rPr>
      </w:pPr>
      <w:bookmarkStart w:id="7" w:name="heading_14"/>
      <w:r>
        <w:rPr>
          <w:rFonts w:hint="eastAsia" w:ascii="方正仿宋_GB2312" w:hAnsi="方正仿宋_GB2312" w:eastAsia="方正仿宋_GB2312" w:cs="方正仿宋_GB2312"/>
          <w:b/>
          <w:bCs/>
        </w:rPr>
        <w:t>文本与素材标准</w:t>
      </w:r>
      <w:bookmarkEnd w:id="7"/>
    </w:p>
    <w:p w14:paraId="4F1BFAAE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</w:pPr>
      <w:r>
        <w:rPr>
          <w:rStyle w:val="27"/>
          <w:rFonts w:hint="eastAsia" w:ascii="方正仿宋_GB2312" w:hAnsi="方正仿宋_GB2312" w:eastAsia="方正仿宋_GB2312" w:cs="方正仿宋_GB2312"/>
          <w:sz w:val="32"/>
          <w:szCs w:val="32"/>
        </w:rPr>
        <w:t>文本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：课程简介、教学大纲、知识点讲解等文本内容，字体清晰、格式规范，无错别字、语病；语言简洁明了，适配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学习者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阅读能力。</w:t>
      </w:r>
    </w:p>
    <w:p w14:paraId="2812DF59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</w:pPr>
      <w:r>
        <w:rPr>
          <w:rStyle w:val="27"/>
          <w:rFonts w:hint="eastAsia" w:ascii="方正仿宋_GB2312" w:hAnsi="方正仿宋_GB2312" w:eastAsia="方正仿宋_GB2312" w:cs="方正仿宋_GB2312"/>
          <w:sz w:val="32"/>
          <w:szCs w:val="32"/>
        </w:rPr>
        <w:t>素材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：图片、动画、演示文稿等素材应清晰无模糊，格式规范（图片为JPG、PNG格式，动画为MP4、GIF格式，演示文稿为PPT、PPTX格式）；素材内容与课程主题相关，避免无关、冗余素材。</w:t>
      </w:r>
    </w:p>
    <w:p w14:paraId="1A367938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/>
        <w:jc w:val="both"/>
        <w:textAlignment w:val="auto"/>
        <w:rPr>
          <w:rFonts w:hint="eastAsia" w:ascii="楷体" w:hAnsi="楷体" w:eastAsia="楷体" w:cs="楷体"/>
          <w:sz w:val="32"/>
          <w:szCs w:val="32"/>
        </w:rPr>
      </w:pPr>
      <w:bookmarkStart w:id="8" w:name="heading_16"/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</w:rPr>
        <w:t>验收</w:t>
      </w:r>
      <w:bookmarkEnd w:id="8"/>
    </w:p>
    <w:p w14:paraId="79B949E1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</w:pPr>
      <w:r>
        <w:rPr>
          <w:rStyle w:val="27"/>
          <w:rFonts w:hint="eastAsia" w:ascii="方正仿宋_GB2312" w:hAnsi="方正仿宋_GB2312" w:eastAsia="方正仿宋_GB2312" w:cs="方正仿宋_GB2312"/>
          <w:spacing w:val="0"/>
          <w:kern w:val="0"/>
          <w:sz w:val="32"/>
          <w:szCs w:val="32"/>
          <w:fitText w:val="1280" w:id="1701724827"/>
        </w:rPr>
        <w:t>材料完备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：课程建设完成后，需提交课程视频、音频、文本素材、教学大纲、课程介绍、版权证明、团队资质证明等相关材料，且所有材料应完整规范。</w:t>
      </w:r>
    </w:p>
    <w:p w14:paraId="2DCF2C70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</w:pPr>
      <w:r>
        <w:rPr>
          <w:rStyle w:val="27"/>
          <w:rFonts w:hint="eastAsia" w:ascii="方正仿宋_GB2312" w:hAnsi="方正仿宋_GB2312" w:eastAsia="方正仿宋_GB2312" w:cs="方正仿宋_GB2312"/>
          <w:spacing w:val="0"/>
          <w:kern w:val="0"/>
          <w:sz w:val="32"/>
          <w:szCs w:val="32"/>
          <w:fitText w:val="1280" w:id="251093851"/>
        </w:rPr>
        <w:t>质量合格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：课程内容、技术呈现、适老化设计等需符合本标准要求，无违规内容及质量问题；课程试运行期间，学习人次应不少于500人次，用户满意度不低于90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％。</w:t>
      </w:r>
    </w:p>
    <w:p w14:paraId="79834FF0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共享可用：课程应可正常上传至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“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湖湘学习广场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”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资源库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支持多终端播放与共享，且无播放故障；需建立课程更新维护机制，保障课程长期稳定可用。</w:t>
      </w:r>
    </w:p>
    <w:p w14:paraId="3183E139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Style w:val="27"/>
          <w:rFonts w:hint="eastAsia" w:ascii="方正仿宋_GB2312" w:hAnsi="方正仿宋_GB2312" w:eastAsia="方正仿宋_GB2312" w:cs="方正仿宋_GB2312"/>
          <w:spacing w:val="0"/>
          <w:kern w:val="0"/>
          <w:sz w:val="32"/>
          <w:szCs w:val="32"/>
          <w:fitText w:val="1280" w:id="1276787245"/>
        </w:rPr>
        <w:t>特色显著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：鼓励课程具备创新性、地域性与特色性，能够形成示范效应，为全省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终身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教育网络课程建设提供实践借鉴。</w:t>
      </w:r>
    </w:p>
    <w:p w14:paraId="7D14CED2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根据课程建设质量评定等级，分别给予相应经费资助。</w:t>
      </w:r>
    </w:p>
    <w:p w14:paraId="7A25AED2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/>
          <w:sz w:val="28"/>
          <w:szCs w:val="28"/>
        </w:rPr>
      </w:pPr>
    </w:p>
    <w:p w14:paraId="3CB81952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/>
          <w:sz w:val="28"/>
          <w:szCs w:val="28"/>
        </w:rPr>
      </w:pPr>
    </w:p>
    <w:p w14:paraId="632079D6"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b/>
          <w:bCs/>
        </w:rPr>
      </w:pPr>
    </w:p>
    <w:sectPr>
      <w:headerReference r:id="rId3" w:type="default"/>
      <w:footerReference r:id="rId4" w:type="default"/>
      <w:footerReference r:id="rId5" w:type="even"/>
      <w:pgSz w:w="11905" w:h="16840"/>
      <w:pgMar w:top="2098" w:right="1474" w:bottom="1984" w:left="1587" w:header="851" w:footer="1417" w:gutter="0"/>
      <w:pgNumType w:fmt="decimal" w:start="1"/>
      <w:cols w:space="720" w:num="1"/>
      <w:titlePg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0D5ECF7-793B-4EA8-B7ED-3CEE549795D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D2F24B7-0FA6-42E3-94C6-BF1003D6D9F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A3F98FE-B6FC-4FF7-9576-BA8F55E3FF49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0D6056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BF5558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zJ8uDT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6EBF5558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C09A8F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C47115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BqVKztYAAAAGAQAADwAAAAAAAAABACAAAAAiAAAAZHJzL2Rvd25y&#10;ZXYueG1sUEsBAhQAFAAAAAgAh07iQCYyPdY5AgAAawQAAA4AAAAAAAAAAQAgAAAAJQ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69C47115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73E66">
    <w:pPr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84CFA"/>
    <w:multiLevelType w:val="singleLevel"/>
    <w:tmpl w:val="05884CFA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E26521C"/>
    <w:multiLevelType w:val="singleLevel"/>
    <w:tmpl w:val="0E26521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evenAndOddHeaders w:val="1"/>
  <w:drawingGridHorizontalSpacing w:val="158"/>
  <w:drawingGridVerticalSpacing w:val="290"/>
  <w:displayHorizontalDrawingGridEvery w:val="1"/>
  <w:displayVerticalDrawingGridEvery w:val="1"/>
  <w:noPunctuationKerning w:val="1"/>
  <w:hdrShapeDefaults>
    <o:shapelayout v:ext="edit">
      <o:idmap v:ext="edit" data="3,4"/>
    </o:shapelayout>
  </w:hdrShapeDefaults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F45B7"/>
    <w:rsid w:val="0321400D"/>
    <w:rsid w:val="05DA05A9"/>
    <w:rsid w:val="11810A0F"/>
    <w:rsid w:val="11991213"/>
    <w:rsid w:val="11C10E95"/>
    <w:rsid w:val="13081775"/>
    <w:rsid w:val="154222ED"/>
    <w:rsid w:val="157F7A30"/>
    <w:rsid w:val="15B50D11"/>
    <w:rsid w:val="169237EC"/>
    <w:rsid w:val="17B25C84"/>
    <w:rsid w:val="19461C80"/>
    <w:rsid w:val="1B7A20B5"/>
    <w:rsid w:val="1B7D5DAF"/>
    <w:rsid w:val="1CA64716"/>
    <w:rsid w:val="1E2A7DC2"/>
    <w:rsid w:val="20EE356F"/>
    <w:rsid w:val="21380A48"/>
    <w:rsid w:val="228C4BA7"/>
    <w:rsid w:val="240A66CC"/>
    <w:rsid w:val="2FBC2844"/>
    <w:rsid w:val="32D57EA5"/>
    <w:rsid w:val="336E3229"/>
    <w:rsid w:val="359E5E79"/>
    <w:rsid w:val="380158F4"/>
    <w:rsid w:val="38D806EF"/>
    <w:rsid w:val="3FD75394"/>
    <w:rsid w:val="41F60D19"/>
    <w:rsid w:val="429C453B"/>
    <w:rsid w:val="45E53379"/>
    <w:rsid w:val="482A0052"/>
    <w:rsid w:val="4A01737A"/>
    <w:rsid w:val="4A111B33"/>
    <w:rsid w:val="4B101F6A"/>
    <w:rsid w:val="4CEF395A"/>
    <w:rsid w:val="4EA330F5"/>
    <w:rsid w:val="4EF1188A"/>
    <w:rsid w:val="50CF1F80"/>
    <w:rsid w:val="53966D85"/>
    <w:rsid w:val="53CE220A"/>
    <w:rsid w:val="567333AD"/>
    <w:rsid w:val="58504589"/>
    <w:rsid w:val="594C5C48"/>
    <w:rsid w:val="5B445318"/>
    <w:rsid w:val="5BCF72D8"/>
    <w:rsid w:val="5C230DC3"/>
    <w:rsid w:val="5C401F83"/>
    <w:rsid w:val="5E9345EC"/>
    <w:rsid w:val="5FCB425A"/>
    <w:rsid w:val="665C7F15"/>
    <w:rsid w:val="6B6C463D"/>
    <w:rsid w:val="6C3F5DB4"/>
    <w:rsid w:val="6EF03395"/>
    <w:rsid w:val="6F391B04"/>
    <w:rsid w:val="6F5508FF"/>
    <w:rsid w:val="7320459A"/>
    <w:rsid w:val="73F21A89"/>
    <w:rsid w:val="7D9436B5"/>
    <w:rsid w:val="7FFD59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link w:val="28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17">
    <w:name w:val="Table Grid"/>
    <w:basedOn w:val="1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标题 3 Char"/>
    <w:link w:val="4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20">
    <w:name w:val="标题 4 Char"/>
    <w:qFormat/>
    <w:uiPriority w:val="0"/>
    <w:rPr>
      <w:rFonts w:ascii="Times New Roman" w:hAnsi="Times New Roman" w:eastAsia="仿宋_GB2312" w:cs="仿宋_GB2312"/>
      <w:sz w:val="32"/>
      <w:szCs w:val="32"/>
    </w:rPr>
  </w:style>
  <w:style w:type="paragraph" w:customStyle="1" w:styleId="21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customStyle="1" w:styleId="22">
    <w:name w:val="标题 3 Char1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23">
    <w:name w:val="标题 4 Char1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24">
    <w:name w:val="标题 3 Char2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25">
    <w:name w:val="标题 4 Char2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26">
    <w:name w:val="标题 3 Char3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27">
    <w:name w:val="标题 4 Char3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28">
    <w:name w:val="标题 3 Char4"/>
    <w:link w:val="4"/>
    <w:qFormat/>
    <w:uiPriority w:val="0"/>
    <w:rPr>
      <w:rFonts w:ascii="Times New Roman" w:hAnsi="Times New Roman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5ce2a764-9bf8-4c6f-bfd2-532fdb93eebe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60E54892</paraID>
      <start>101</start>
      <end>102</end>
      <status>ignored</status>
      <modifiedWord/>
      <trackRevisions>false</trackRevisions>
    </reviewItem>
    <reviewItem>
      <errorID>046e5a68-a643-422f-a430-a2d5fc4a82d7</errorID>
      <errorWord>晰</errorWord>
      <group>L1_Word</group>
      <groupName>字词问题</groupName>
      <ability>L2_Typo</ability>
      <abilityName>字词错误</abilityName>
      <candidateList>
        <item>晰地</item>
      </candidateList>
      <explain/>
      <paraID>56BA0A99</paraID>
      <start>47</start>
      <end>48</end>
      <status>ignored</status>
      <modifiedWord/>
      <trackRevisions>false</trackRevisions>
    </reviewItem>
    <reviewItem>
      <errorID>1bf683a8-262a-4fe7-a803-808c7b049524</errorID>
      <errorWord>需</errorWord>
      <group>L1_Word</group>
      <groupName>字词问题</groupName>
      <ability>L2_Typo</ability>
      <abilityName>字词错误</abilityName>
      <candidateList>
        <item>须</item>
      </candidateList>
      <explain>（鬚）xū❶原来指长在下巴上的胡子，后来泛指胡须：～发｜～眉。❷须子：触～｜花～。</explain>
      <paraID>2DCF2C70</paraID>
      <start>21</start>
      <end>22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2aca8e-0616-46cb-9db3-9cb80bc58a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362</Words>
  <Characters>367</Characters>
  <TotalTime>5</TotalTime>
  <ScaleCrop>false</ScaleCrop>
  <LinksUpToDate>false</LinksUpToDate>
  <CharactersWithSpaces>368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2026-04-10T01:00:00Z</dcterms:created>
  <dc:creator>Apache POI</dc:creator>
  <cp:lastModifiedBy>卢欣悦</cp:lastModifiedBy>
  <cp:lastPrinted>2026-04-20T03:18:00Z</cp:lastPrinted>
  <dcterms:modified xsi:type="dcterms:W3CDTF">2026-08-30T08:56:54Z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eyJoZGlkIjoiMzhmZjQ5YTNmMzdiZWUxMzc3YWRhNmY2Njg3ZmMzNGQiLCJ1c2VySWQiOiIyNDgzMDk4MzMifQ==</vt:lpwstr>
  </property>
  <property fmtid="{D5CDD505-2E9C-101B-9397-08002B2CF9AE}" pid="3" name="KSOProductBuildVer">
    <vt:lpwstr>2052-12.1.0.28505</vt:lpwstr>
  </property>
  <property fmtid="{D5CDD505-2E9C-101B-9397-08002B2CF9AE}" pid="4" name="ICV">
    <vt:lpwstr>E07F28D033DD449799AE97179D1A6642_13</vt:lpwstr>
  </property>
  <property fmtid="{D5CDD505-2E9C-101B-9397-08002B2CF9AE}" pid="5" name="标题_1">
    <vt:lpwstr>湖南开放大学老年教育网络精品课程_x000B_建设要求与建设标准</vt:lpwstr>
  </property>
  <property fmtid="{D5CDD505-2E9C-101B-9397-08002B2CF9AE}" pid="6" name="附件说明_1">
    <vt:lpwstr>附件：湖南开放大学老年教育优质课程建设指标湖南开放大学老年教育优质课程建设项目申报书湖南开放大学老年教育优质课程建设项目申报汇总表  </vt:lpwstr>
  </property>
  <property fmtid="{D5CDD505-2E9C-101B-9397-08002B2CF9AE}" pid="7" name="标题_2">
    <vt:lpwstr>湖南开放大学老年教育网络精品课程建设指标</vt:lpwstr>
  </property>
  <property fmtid="{D5CDD505-2E9C-101B-9397-08002B2CF9AE}" pid="8" name="标题_3">
    <vt:lpwstr>湖南开放大学老年教育网络精品课程_x000B_项目申报书</vt:lpwstr>
  </property>
  <property fmtid="{D5CDD505-2E9C-101B-9397-08002B2CF9AE}" pid="9" name="标题_4">
    <vt:lpwstr>湖南开放大学老年教育网络精品课程项目申报汇总表  </vt:lpwstr>
  </property>
</Properties>
</file>